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版本号：SXRK-2025-0420250220002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略阳县2025年农村环境整治项目技术服务咨询项目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SXRK-2025-04</w:t>
      </w:r>
      <w:r>
        <w:br/>
      </w:r>
      <w:r>
        <w:br/>
      </w:r>
      <w:r>
        <w:br/>
      </w:r>
    </w:p>
    <w:p>
      <w:pPr>
        <w:pStyle w:val="null3"/>
        <w:jc w:val="center"/>
        <w:outlineLvl w:val="2"/>
      </w:pPr>
      <w:r>
        <w:rPr>
          <w:rFonts w:ascii="仿宋_GB2312" w:hAnsi="仿宋_GB2312" w:cs="仿宋_GB2312" w:eastAsia="仿宋_GB2312"/>
          <w:sz w:val="28"/>
          <w:b/>
        </w:rPr>
        <w:t>汉中市生态环境局略阳分局</w:t>
      </w:r>
    </w:p>
    <w:p>
      <w:pPr>
        <w:pStyle w:val="null3"/>
        <w:jc w:val="center"/>
        <w:outlineLvl w:val="2"/>
      </w:pPr>
      <w:r>
        <w:rPr>
          <w:rFonts w:ascii="仿宋_GB2312" w:hAnsi="仿宋_GB2312" w:cs="仿宋_GB2312" w:eastAsia="仿宋_GB2312"/>
          <w:sz w:val="28"/>
          <w:b/>
        </w:rPr>
        <w:t>陕西瑞珂工程咨询有限责任公司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2025年02月19日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陕西瑞珂工程咨询有限责任公司</w:t>
      </w:r>
      <w:r>
        <w:rPr>
          <w:rFonts w:ascii="仿宋_GB2312" w:hAnsi="仿宋_GB2312" w:cs="仿宋_GB2312" w:eastAsia="仿宋_GB2312"/>
        </w:rPr>
        <w:t>（以下简称“代理机构”）受</w:t>
      </w:r>
      <w:r>
        <w:rPr>
          <w:rFonts w:ascii="仿宋_GB2312" w:hAnsi="仿宋_GB2312" w:cs="仿宋_GB2312" w:eastAsia="仿宋_GB2312"/>
        </w:rPr>
        <w:t>汉中市生态环境局略阳分局</w:t>
      </w:r>
      <w:r>
        <w:rPr>
          <w:rFonts w:ascii="仿宋_GB2312" w:hAnsi="仿宋_GB2312" w:cs="仿宋_GB2312" w:eastAsia="仿宋_GB2312"/>
        </w:rPr>
        <w:t>委托，拟对</w:t>
      </w:r>
      <w:r>
        <w:rPr>
          <w:rFonts w:ascii="仿宋_GB2312" w:hAnsi="仿宋_GB2312" w:cs="仿宋_GB2312" w:eastAsia="仿宋_GB2312"/>
        </w:rPr>
        <w:t>略阳县2025年农村环境整治项目技术服务咨询项目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SXRK-2025-04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略阳县2025年农村环境整治项目技术服务咨询项目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略阳县2025年农村环境整治项目技术服务咨询项目，1项，具体内容详见磋商文件。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采购包1（略阳县2025年农村环境整治项目技术服务咨询项目）：属于专门面向中小企业采购。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资格能力要求：1、投标人资格能力要求：1、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 2、签署人身份证明：法定代表人身份证明及身份证复印件或授权委托书（法定代表人对投标函签署人的授权委托书）及被授权人身份证复印件； 3、供应商须具备工程设计综合甲级资质或市政行业丙级或市政行业（排水工程）专业设计丙级及以上资质；项目负责人须具备相关专业中级及以上技术职称。 4、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汉中市生态环境局略阳分局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汉中市略阳县中学路200号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17392019989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陕西瑞珂工程咨询有限责任公司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汉台区劳动东路 33 号汉航基地办公楼二楼 221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0916-2381188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开户名称：陕西瑞珂工程咨询有限责任公司汉中分公司</w:t>
            </w:r>
          </w:p>
          <w:p>
            <w:pPr>
              <w:pStyle w:val="null3"/>
            </w:pPr>
            <w:r>
              <w:rPr>
                <w:rFonts w:ascii="仿宋_GB2312" w:hAnsi="仿宋_GB2312" w:cs="仿宋_GB2312" w:eastAsia="仿宋_GB2312"/>
              </w:rPr>
              <w:t>开户银行：汉中市汉台区农村信用合作联社东郊分社</w:t>
            </w:r>
          </w:p>
          <w:p>
            <w:pPr>
              <w:pStyle w:val="null3"/>
            </w:pPr>
            <w:r>
              <w:rPr>
                <w:rFonts w:ascii="仿宋_GB2312" w:hAnsi="仿宋_GB2312" w:cs="仿宋_GB2312" w:eastAsia="仿宋_GB2312"/>
              </w:rPr>
              <w:t>银行账号：2706013601201000008143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代理服务费收费标准：确定中标人后，由中标人向招标代理机构一次付清招标代理服务费。采 购代理服务费的金额参照国家发展与改革委员会《招标代理服务收费暂行办法》（计价格[2002]1980号）及发改办价格[2003]857号文件的规定标准收取。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汉中市生态环境局略阳分局</w:t>
      </w:r>
      <w:r>
        <w:rPr>
          <w:rFonts w:ascii="仿宋_GB2312" w:hAnsi="仿宋_GB2312" w:cs="仿宋_GB2312" w:eastAsia="仿宋_GB2312"/>
        </w:rPr>
        <w:t>和</w:t>
      </w:r>
      <w:r>
        <w:rPr>
          <w:rFonts w:ascii="仿宋_GB2312" w:hAnsi="仿宋_GB2312" w:cs="仿宋_GB2312" w:eastAsia="仿宋_GB2312"/>
        </w:rPr>
        <w:t>陕西瑞珂工程咨询有限责任公司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汉中市生态环境局略阳分局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陕西瑞珂工程咨询有限责任公司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汉中市生态环境局略阳分局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陕西瑞珂工程咨询有限责任公司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联系电话：18992696203</w:t>
      </w:r>
    </w:p>
    <w:p>
      <w:pPr>
        <w:pStyle w:val="null3"/>
      </w:pPr>
      <w:r>
        <w:rPr>
          <w:rFonts w:ascii="仿宋_GB2312" w:hAnsi="仿宋_GB2312" w:cs="仿宋_GB2312" w:eastAsia="仿宋_GB2312"/>
        </w:rPr>
        <w:t>地址：汉台区劳动东路 33 号汉航基地办公楼二楼 221 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略阳县2025年农村环境整治项目技术服务咨询项目，1项，具体内容详见磋商文件。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完成略阳县2025年农村环境整治项目测绘、初步设计及施工图设计等技术服务，达到相关标准和项目实施要求。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标的名称：完成略阳县2025年农村环境整治项目测绘、初步设计及施工图设计等技术服务，达到相关标准和项目实施要求。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略阳县2025年农村环境整治项目技术服务咨询项目</w:t>
            </w:r>
          </w:p>
        </w:tc>
        <w:tc>
          <w:tcPr>
            <w:tcW w:type="dxa" w:w="2076"/>
          </w:tcPr>
          <w:p>
            <w:pPr>
              <w:pStyle w:val="null3"/>
            </w:pPr>
            <w:r>
              <w:rPr>
                <w:rFonts w:ascii="仿宋_GB2312" w:hAnsi="仿宋_GB2312" w:cs="仿宋_GB2312" w:eastAsia="仿宋_GB2312"/>
                <w:sz w:val="24"/>
                <w:b/>
              </w:rPr>
              <w:t>一、项目概况：</w:t>
            </w:r>
          </w:p>
          <w:p>
            <w:pPr>
              <w:pStyle w:val="null3"/>
              <w:jc w:val="both"/>
            </w:pPr>
            <w:r>
              <w:rPr>
                <w:rFonts w:ascii="仿宋_GB2312" w:hAnsi="仿宋_GB2312" w:cs="仿宋_GB2312" w:eastAsia="仿宋_GB2312"/>
                <w:sz w:val="24"/>
              </w:rPr>
              <w:t>1、项目名称：略阳县2025年农村环境整治项目技术服务咨询项目</w:t>
            </w:r>
          </w:p>
          <w:p>
            <w:pPr>
              <w:pStyle w:val="null3"/>
              <w:jc w:val="both"/>
            </w:pPr>
            <w:r>
              <w:rPr>
                <w:rFonts w:ascii="仿宋_GB2312" w:hAnsi="仿宋_GB2312" w:cs="仿宋_GB2312" w:eastAsia="仿宋_GB2312"/>
                <w:sz w:val="24"/>
              </w:rPr>
              <w:t>2、服务期：30天</w:t>
            </w:r>
          </w:p>
          <w:p>
            <w:pPr>
              <w:pStyle w:val="null3"/>
              <w:jc w:val="both"/>
            </w:pPr>
            <w:r>
              <w:rPr>
                <w:rFonts w:ascii="仿宋_GB2312" w:hAnsi="仿宋_GB2312" w:cs="仿宋_GB2312" w:eastAsia="仿宋_GB2312"/>
                <w:sz w:val="24"/>
              </w:rPr>
              <w:t>3、服务质量：合格</w:t>
            </w:r>
          </w:p>
          <w:p>
            <w:pPr>
              <w:pStyle w:val="null3"/>
            </w:pPr>
            <w:r>
              <w:rPr>
                <w:rFonts w:ascii="仿宋_GB2312" w:hAnsi="仿宋_GB2312" w:cs="仿宋_GB2312" w:eastAsia="仿宋_GB2312"/>
                <w:sz w:val="24"/>
                <w:b/>
              </w:rPr>
              <w:t>二、采购内容及具体要求：</w:t>
            </w:r>
          </w:p>
          <w:p>
            <w:pPr>
              <w:pStyle w:val="null3"/>
            </w:pPr>
            <w:r>
              <w:rPr>
                <w:rFonts w:ascii="仿宋_GB2312" w:hAnsi="仿宋_GB2312" w:cs="仿宋_GB2312" w:eastAsia="仿宋_GB2312"/>
                <w:sz w:val="24"/>
              </w:rPr>
              <w:t>1、</w:t>
            </w:r>
            <w:r>
              <w:rPr>
                <w:rFonts w:ascii="仿宋_GB2312" w:hAnsi="仿宋_GB2312" w:cs="仿宋_GB2312" w:eastAsia="仿宋_GB2312"/>
                <w:sz w:val="24"/>
              </w:rPr>
              <w:t>采购内容:根据采购人要求，对略阳县需要治理生活污水的村庄进行实地摸排调</w:t>
            </w:r>
            <w:r>
              <w:rPr>
                <w:rFonts w:ascii="仿宋_GB2312" w:hAnsi="仿宋_GB2312" w:cs="仿宋_GB2312" w:eastAsia="仿宋_GB2312"/>
                <w:sz w:val="24"/>
              </w:rPr>
              <w:t>研，因地制宜选择治理模式，确定建设内容后，进行地形测绘、初步设计和施工</w:t>
            </w:r>
            <w:r>
              <w:rPr>
                <w:rFonts w:ascii="仿宋_GB2312" w:hAnsi="仿宋_GB2312" w:cs="仿宋_GB2312" w:eastAsia="仿宋_GB2312"/>
                <w:sz w:val="24"/>
              </w:rPr>
              <w:t>图设计。</w:t>
            </w:r>
          </w:p>
          <w:p>
            <w:pPr>
              <w:pStyle w:val="null3"/>
            </w:pPr>
            <w:r>
              <w:rPr>
                <w:rFonts w:ascii="仿宋_GB2312" w:hAnsi="仿宋_GB2312" w:cs="仿宋_GB2312" w:eastAsia="仿宋_GB2312"/>
                <w:sz w:val="24"/>
              </w:rPr>
              <w:t>2、要求:符合国家、行业标准以及有关技术规范及采购人要求。</w:t>
            </w:r>
          </w:p>
          <w:p>
            <w:pPr>
              <w:pStyle w:val="null3"/>
            </w:pPr>
            <w:r>
              <w:rPr>
                <w:rFonts w:ascii="仿宋_GB2312" w:hAnsi="仿宋_GB2312" w:cs="仿宋_GB2312" w:eastAsia="仿宋_GB2312"/>
                <w:sz w:val="24"/>
              </w:rPr>
              <w:t>三、</w:t>
            </w:r>
            <w:r>
              <w:rPr>
                <w:rFonts w:ascii="仿宋_GB2312" w:hAnsi="仿宋_GB2312" w:cs="仿宋_GB2312" w:eastAsia="仿宋_GB2312"/>
                <w:sz w:val="24"/>
                <w:b/>
              </w:rPr>
              <w:t>服务要求</w:t>
            </w:r>
          </w:p>
          <w:p>
            <w:pPr>
              <w:pStyle w:val="null3"/>
              <w:ind w:firstLine="480"/>
            </w:pPr>
            <w:r>
              <w:rPr>
                <w:rFonts w:ascii="仿宋_GB2312" w:hAnsi="仿宋_GB2312" w:cs="仿宋_GB2312" w:eastAsia="仿宋_GB2312"/>
                <w:sz w:val="24"/>
              </w:rPr>
              <w:t>1、设计依据：</w:t>
            </w:r>
          </w:p>
          <w:p>
            <w:pPr>
              <w:pStyle w:val="null3"/>
              <w:ind w:firstLine="480"/>
            </w:pPr>
            <w:r>
              <w:rPr>
                <w:rFonts w:ascii="仿宋_GB2312" w:hAnsi="仿宋_GB2312" w:cs="仿宋_GB2312" w:eastAsia="仿宋_GB2312"/>
                <w:sz w:val="24"/>
              </w:rPr>
              <w:t>1.1根据《中华人民共和国民法典》、《中华人民共和国建筑法》等有关法律法规。</w:t>
            </w:r>
          </w:p>
          <w:p>
            <w:pPr>
              <w:pStyle w:val="null3"/>
              <w:ind w:firstLine="480"/>
            </w:pPr>
            <w:r>
              <w:rPr>
                <w:rFonts w:ascii="仿宋_GB2312" w:hAnsi="仿宋_GB2312" w:cs="仿宋_GB2312" w:eastAsia="仿宋_GB2312"/>
                <w:sz w:val="24"/>
              </w:rPr>
              <w:t>1.2执行技术标准：</w:t>
            </w:r>
          </w:p>
          <w:p>
            <w:pPr>
              <w:pStyle w:val="null3"/>
              <w:ind w:firstLine="480"/>
            </w:pPr>
            <w:r>
              <w:rPr>
                <w:rFonts w:ascii="仿宋_GB2312" w:hAnsi="仿宋_GB2312" w:cs="仿宋_GB2312" w:eastAsia="仿宋_GB2312"/>
                <w:sz w:val="24"/>
              </w:rPr>
              <w:t>1.2.1国家及地方有关建设工程勘察设计管理法规和规章。</w:t>
            </w:r>
          </w:p>
          <w:p>
            <w:pPr>
              <w:pStyle w:val="null3"/>
              <w:ind w:firstLine="480"/>
            </w:pPr>
            <w:r>
              <w:rPr>
                <w:rFonts w:ascii="仿宋_GB2312" w:hAnsi="仿宋_GB2312" w:cs="仿宋_GB2312" w:eastAsia="仿宋_GB2312"/>
                <w:sz w:val="24"/>
              </w:rPr>
              <w:t>1.2.2建设工程批准文件。</w:t>
            </w:r>
          </w:p>
          <w:p>
            <w:pPr>
              <w:pStyle w:val="null3"/>
              <w:ind w:firstLine="480"/>
            </w:pPr>
            <w:r>
              <w:rPr>
                <w:rFonts w:ascii="仿宋_GB2312" w:hAnsi="仿宋_GB2312" w:cs="仿宋_GB2312" w:eastAsia="仿宋_GB2312"/>
                <w:sz w:val="24"/>
              </w:rPr>
              <w:t>1.2.3甲方提供的设计委托书及相关的基础资料文件。</w:t>
            </w:r>
          </w:p>
          <w:p>
            <w:pPr>
              <w:pStyle w:val="null3"/>
              <w:ind w:firstLine="480"/>
            </w:pPr>
            <w:r>
              <w:rPr>
                <w:rFonts w:ascii="仿宋_GB2312" w:hAnsi="仿宋_GB2312" w:cs="仿宋_GB2312" w:eastAsia="仿宋_GB2312"/>
                <w:sz w:val="24"/>
              </w:rPr>
              <w:t>1.2.4本合同条文如与国家法律、法规、条例不符，以国家法律、法规、条例为准。</w:t>
            </w:r>
          </w:p>
          <w:p>
            <w:pPr>
              <w:pStyle w:val="null3"/>
              <w:ind w:firstLine="480"/>
            </w:pPr>
            <w:r>
              <w:rPr>
                <w:rFonts w:ascii="仿宋_GB2312" w:hAnsi="仿宋_GB2312" w:cs="仿宋_GB2312" w:eastAsia="仿宋_GB2312"/>
                <w:sz w:val="24"/>
              </w:rPr>
              <w:t>2、设计要求：</w:t>
            </w:r>
          </w:p>
          <w:p>
            <w:pPr>
              <w:pStyle w:val="null3"/>
              <w:ind w:firstLine="480"/>
            </w:pPr>
            <w:r>
              <w:rPr>
                <w:rFonts w:ascii="仿宋_GB2312" w:hAnsi="仿宋_GB2312" w:cs="仿宋_GB2312" w:eastAsia="仿宋_GB2312"/>
                <w:sz w:val="24"/>
              </w:rPr>
              <w:t>2.1、服务方案对工程方案编制思路清晰度，主要工作内容全面性，方案技术可行性；</w:t>
            </w:r>
          </w:p>
          <w:p>
            <w:pPr>
              <w:pStyle w:val="null3"/>
              <w:ind w:firstLine="480"/>
            </w:pPr>
            <w:r>
              <w:rPr>
                <w:rFonts w:ascii="仿宋_GB2312" w:hAnsi="仿宋_GB2312" w:cs="仿宋_GB2312" w:eastAsia="仿宋_GB2312"/>
                <w:sz w:val="24"/>
              </w:rPr>
              <w:t>2.2、质量保障措施：质量目标明确，质量保证体系完善，质量控制和保证措施具体、有针对性。</w:t>
            </w:r>
          </w:p>
          <w:p>
            <w:pPr>
              <w:pStyle w:val="null3"/>
              <w:ind w:firstLine="480"/>
            </w:pPr>
            <w:r>
              <w:rPr>
                <w:rFonts w:ascii="仿宋_GB2312" w:hAnsi="仿宋_GB2312" w:cs="仿宋_GB2312" w:eastAsia="仿宋_GB2312"/>
                <w:sz w:val="24"/>
              </w:rPr>
              <w:t>2.3、进度保障措施：进度控制目标明确，进度计划合理，有严格的进度控制和保证措施，工期安排合理，工作组织程序清晰，便于把握和协调。</w:t>
            </w:r>
          </w:p>
          <w:p>
            <w:pPr>
              <w:pStyle w:val="null3"/>
              <w:ind w:firstLine="480"/>
            </w:pPr>
            <w:r>
              <w:rPr>
                <w:rFonts w:ascii="仿宋_GB2312" w:hAnsi="仿宋_GB2312" w:cs="仿宋_GB2312" w:eastAsia="仿宋_GB2312"/>
                <w:sz w:val="24"/>
              </w:rPr>
              <w:t>3、对本项目的理解及合理化建议承诺：对本项目认知的熟悉程度，提供的后期服务承诺方案具体、人员专业的配备、人员数量合理，后期服务承诺及技术支持与保障可行。</w:t>
            </w:r>
          </w:p>
          <w:p>
            <w:pPr>
              <w:pStyle w:val="null3"/>
              <w:ind w:firstLine="480"/>
            </w:pPr>
            <w:r>
              <w:rPr>
                <w:rFonts w:ascii="仿宋_GB2312" w:hAnsi="仿宋_GB2312" w:cs="仿宋_GB2312" w:eastAsia="仿宋_GB2312"/>
                <w:sz w:val="24"/>
              </w:rPr>
              <w:t>4、成果要求：成果由文本、图件组成。出具施工图设计资料及电子文件按采购方需求提供。</w:t>
            </w:r>
          </w:p>
          <w:p>
            <w:pPr>
              <w:pStyle w:val="null3"/>
            </w:pPr>
            <w:r>
              <w:rPr>
                <w:rFonts w:ascii="仿宋_GB2312" w:hAnsi="仿宋_GB2312" w:cs="仿宋_GB2312" w:eastAsia="仿宋_GB2312"/>
                <w:sz w:val="24"/>
                <w:b/>
              </w:rPr>
              <w:t>四、合同实施：</w:t>
            </w:r>
          </w:p>
          <w:p>
            <w:pPr>
              <w:pStyle w:val="null3"/>
              <w:ind w:firstLine="480"/>
              <w:jc w:val="both"/>
            </w:pPr>
            <w:r>
              <w:rPr>
                <w:rFonts w:ascii="仿宋_GB2312" w:hAnsi="仿宋_GB2312" w:cs="仿宋_GB2312" w:eastAsia="仿宋_GB2312"/>
                <w:sz w:val="24"/>
              </w:rPr>
              <w:t>1 、中标人应在合同签订后3个日历日内安排人员就项目实施工作进行安排、部署。</w:t>
            </w:r>
          </w:p>
          <w:p>
            <w:pPr>
              <w:pStyle w:val="null3"/>
              <w:ind w:firstLine="480"/>
              <w:jc w:val="both"/>
            </w:pPr>
            <w:r>
              <w:rPr>
                <w:rFonts w:ascii="仿宋_GB2312" w:hAnsi="仿宋_GB2312" w:cs="仿宋_GB2312" w:eastAsia="仿宋_GB2312"/>
                <w:sz w:val="24"/>
              </w:rPr>
              <w:t>2 、若未能在实施期限内完成合同规定的义务，由此对采购人造成的延误和一切损失，由中标人承担和赔偿。</w:t>
            </w:r>
          </w:p>
          <w:p>
            <w:pPr>
              <w:pStyle w:val="null3"/>
              <w:jc w:val="both"/>
            </w:pPr>
            <w:r>
              <w:rPr>
                <w:rFonts w:ascii="仿宋_GB2312" w:hAnsi="仿宋_GB2312" w:cs="仿宋_GB2312" w:eastAsia="仿宋_GB2312"/>
                <w:sz w:val="24"/>
                <w:b/>
              </w:rPr>
              <w:t>五、违约责任：</w:t>
            </w:r>
          </w:p>
          <w:p>
            <w:pPr>
              <w:pStyle w:val="null3"/>
              <w:ind w:firstLine="480"/>
              <w:jc w:val="both"/>
            </w:pPr>
            <w:r>
              <w:rPr>
                <w:rFonts w:ascii="仿宋_GB2312" w:hAnsi="仿宋_GB2312" w:cs="仿宋_GB2312" w:eastAsia="仿宋_GB2312"/>
                <w:sz w:val="24"/>
              </w:rPr>
              <w:t>1、按《中华人民共和国民法典》中的相关条款执行。</w:t>
            </w:r>
          </w:p>
          <w:p>
            <w:pPr>
              <w:pStyle w:val="null3"/>
              <w:ind w:firstLine="480"/>
              <w:jc w:val="both"/>
            </w:pPr>
            <w:r>
              <w:rPr>
                <w:rFonts w:ascii="仿宋_GB2312" w:hAnsi="仿宋_GB2312" w:cs="仿宋_GB2312" w:eastAsia="仿宋_GB2312"/>
                <w:sz w:val="24"/>
              </w:rPr>
              <w:t>2、未按合同要求提供服务或服务质量不能满足技术要求，采购人有权终止合同，并对供方违约行为进行追究，同时按《中华人民共和国政府采购法》的有关规定进行处罚。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合同中自行约定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投标人资格能力要求</w:t>
            </w:r>
          </w:p>
        </w:tc>
        <w:tc>
          <w:tcPr>
            <w:tcW w:type="dxa" w:w="3322"/>
          </w:tcPr>
          <w:p>
            <w:pPr>
              <w:pStyle w:val="null3"/>
            </w:pPr>
            <w:r>
              <w:rPr>
                <w:rFonts w:ascii="仿宋_GB2312" w:hAnsi="仿宋_GB2312" w:cs="仿宋_GB2312" w:eastAsia="仿宋_GB2312"/>
              </w:rPr>
              <w:t>1、投标人资格能力要求：1、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 2、签署人身份证明：法定代表人身份证明及身份证复印件或授权委托书（法定代表人对投标函签署人的授权委托书）及被授权人身份证复印件； 3、供应商须具备工程设计综合甲级资质或市政行业丙级或市政行业（排水工程）专业设计丙级及以上资质；项目负责人须具备相关专业中级及以上技术职称。 4、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响应文件中法定代表人或被授权人的签字齐全并加盖公章</w:t>
            </w:r>
          </w:p>
        </w:tc>
        <w:tc>
          <w:tcPr>
            <w:tcW w:type="dxa" w:w="1661"/>
          </w:tcPr>
          <w:p>
            <w:pPr>
              <w:pStyle w:val="null3"/>
            </w:pPr>
            <w:r>
              <w:rPr>
                <w:rFonts w:ascii="仿宋_GB2312" w:hAnsi="仿宋_GB2312" w:cs="仿宋_GB2312" w:eastAsia="仿宋_GB2312"/>
              </w:rPr>
              <w:t>响应文件封面 中小企业声明函 残疾人福利性单位声明函 服务响应方案.docx 标的清单 报价表 响应函 资格证明文件.docx 监狱企业的证明文件 技术服务偏差表.docx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磋商总报价是否未超过采购预算</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完全理解并接受对合格供应商服务要求。</w:t>
            </w:r>
          </w:p>
        </w:tc>
        <w:tc>
          <w:tcPr>
            <w:tcW w:type="dxa" w:w="1661"/>
          </w:tcPr>
          <w:p>
            <w:pPr>
              <w:pStyle w:val="null3"/>
            </w:pPr>
            <w:r>
              <w:rPr>
                <w:rFonts w:ascii="仿宋_GB2312" w:hAnsi="仿宋_GB2312" w:cs="仿宋_GB2312" w:eastAsia="仿宋_GB2312"/>
              </w:rPr>
              <w:t>技术服务偏差表.docx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磋商保证金或磋商担保函是否符合要求</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完全理解并接受磋商文件合同基本条款要求的描述。</w:t>
            </w:r>
          </w:p>
        </w:tc>
        <w:tc>
          <w:tcPr>
            <w:tcW w:type="dxa" w:w="1661"/>
          </w:tcPr>
          <w:p>
            <w:pPr>
              <w:pStyle w:val="null3"/>
            </w:pPr>
            <w:r>
              <w:rPr>
                <w:rFonts w:ascii="仿宋_GB2312" w:hAnsi="仿宋_GB2312" w:cs="仿宋_GB2312" w:eastAsia="仿宋_GB2312"/>
              </w:rPr>
              <w:t>响应文件封面 中小企业声明函 残疾人福利性单位声明函 服务响应方案.docx 标的清单 报价表 响应函 资格证明文件.docx 监狱企业的证明文件 技术服务偏差表.docx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详细评审90.0000分</w:t>
            </w:r>
          </w:p>
          <w:p>
            <w:pPr>
              <w:pStyle w:val="null3"/>
            </w:pPr>
            <w:r>
              <w:rPr>
                <w:rFonts w:ascii="仿宋_GB2312" w:hAnsi="仿宋_GB2312" w:cs="仿宋_GB2312" w:eastAsia="仿宋_GB2312"/>
              </w:rPr>
              <w:t>报价得分10.0000分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对本采购项目服务工作内容熟悉，能够清楚了解政策要求和采购方需求，根据项目具体情况制定详细、针对性强、合理、全面的实施方案，方案内容全面，工作范围明确，工作流程清晰、规范。根据方案的响应程度计分：1、理解全面、分析完整计7.1-10；2、基本全面、较完整计4.1-7；3、理解不够完善、缺乏完整性计0-4。</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项目设计总体思路</w:t>
            </w:r>
          </w:p>
        </w:tc>
        <w:tc>
          <w:tcPr>
            <w:tcW w:type="dxa" w:w="2492"/>
          </w:tcPr>
          <w:p>
            <w:pPr>
              <w:pStyle w:val="null3"/>
            </w:pPr>
            <w:r>
              <w:rPr>
                <w:rFonts w:ascii="仿宋_GB2312" w:hAnsi="仿宋_GB2312" w:cs="仿宋_GB2312" w:eastAsia="仿宋_GB2312"/>
              </w:rPr>
              <w:t>对采购项目的总体认识和理解：主要包括对工程项目范围、主要技术标准执行、建设条件的认识和理解采购项目要求，内容全面、到位、突出重点等项目设计总体思路。根据响应程度计分：1、工作思路清晰、明确，组织实施合理性强得7.1-10分2、工作思路比较清晰明确，合理性较强得4.1-7分；3、工作思路不清晰，合理性一般得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工作实施的关键点及重难点</w:t>
            </w:r>
          </w:p>
        </w:tc>
        <w:tc>
          <w:tcPr>
            <w:tcW w:type="dxa" w:w="2492"/>
          </w:tcPr>
          <w:p>
            <w:pPr>
              <w:pStyle w:val="null3"/>
            </w:pPr>
            <w:r>
              <w:rPr>
                <w:rFonts w:ascii="仿宋_GB2312" w:hAnsi="仿宋_GB2312" w:cs="仿宋_GB2312" w:eastAsia="仿宋_GB2312"/>
              </w:rPr>
              <w:t>根据项目实际特点，正确识别本项目工作实施的关键点及重难点，逐条列出且分析全面、具体，解决对策针对性强。根据响应程度计分：1、分析全面，应对措施完整、合理可行得7.1-10分；2、分析较全面，应对措施较完整，基本保证项目实施得4.1-7分；3、分析一般，应对措施较差，实施困难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设计方案具有先进性、可行性、合理性及安全可靠性，经济效益分析切合实际、内容全面。根据方案的响应程度计分：1、理解全面、分析完整计7.1-10；2、基本全面、较完整计4.1-7；3、理解不够完善、缺乏完整性计0-4。</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质量标准</w:t>
            </w:r>
          </w:p>
        </w:tc>
        <w:tc>
          <w:tcPr>
            <w:tcW w:type="dxa" w:w="2492"/>
          </w:tcPr>
          <w:p>
            <w:pPr>
              <w:pStyle w:val="null3"/>
            </w:pPr>
            <w:r>
              <w:rPr>
                <w:rFonts w:ascii="仿宋_GB2312" w:hAnsi="仿宋_GB2312" w:cs="仿宋_GB2312" w:eastAsia="仿宋_GB2312"/>
              </w:rPr>
              <w:t>质量标准符合磋商文件要求，明确质量目标，项目整体及分项工程有完整的质量保证体系，各专业的有效衔接；对可能出现的质量偏差有监控及应对措施等。根据内容的响应程度计分：1、应对措施内容完整、合理且有针对性得 7.1-10分；2、应对措施较具体，有一定的针对性得4.1-7分；3、应对措施基本满足磋商文件要求得0-4分。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项目实施工作进度安排具体、合理、可行、可操作性强，进度计划满足服务期限,制定详细的项目进度保障措施，确保工作优质、高效、如期完成，有详细的进度计划表或示意图。根据响应程度计分：1、内容完整、合理且有针对性得 7.1-10分；2、内容较具体，有一定的针对性得4.1-7分；3、内容基本满足磋商文件要求得0-4分。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1、供应商对本项目的承诺（包括但不限于服务质量承诺、服务期限、人员到位、成交后项目实施等方面），承诺内容完善，对所要求内容描述详尽的计（3.1-5分] ；其他情形计[0-3分]。 2、合理化建议，建议内容有可操作性，具有积极意义的计（3.1-5分] ；其他情形计[0-3分]。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拟派技术服务团队相关专业人员搭配合理、职能健全，岗位分工明确、职责清晰，根据与本项目的匹配程度对比打分；1、根据对本项目拟投入人员及设备综合对比打分，人员综合能力强、设备配置好，得7.1-10分；2、人员综合能力较强、设备配置较好，得4.1-7分；3、人员综合能力一般、设备配置一般，得1-4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根据各供应商提供（2021年1月1日起，以合同的签订日期为准）类似项目业绩进行综合评审。每提供一份得5分， 满分10分；提供中标通知书和合同复印件。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详见附件：技术服务偏差表.docx</w:t>
      </w:r>
    </w:p>
    <w:p>
      <w:pPr>
        <w:pStyle w:val="null3"/>
        <w:ind w:firstLine="960"/>
      </w:pPr>
      <w:r>
        <w:rPr>
          <w:rFonts w:ascii="仿宋_GB2312" w:hAnsi="仿宋_GB2312" w:cs="仿宋_GB2312" w:eastAsia="仿宋_GB2312"/>
        </w:rPr>
        <w:t>详见附件：服务响应方案.docx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