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版本号：SCZB2025-ZB-0160-00120250220001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汉中市2025-2026年基本医疗保险门诊慢特病承办服务项目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SCZB2025-ZB-0160-001</w:t>
      </w:r>
      <w:r>
        <w:br/>
      </w:r>
      <w:r>
        <w:br/>
      </w:r>
      <w:r>
        <w:br/>
      </w:r>
    </w:p>
    <w:p>
      <w:pPr>
        <w:pStyle w:val="null3"/>
        <w:jc w:val="center"/>
        <w:outlineLvl w:val="2"/>
      </w:pPr>
      <w:r>
        <w:rPr>
          <w:rFonts w:ascii="仿宋_GB2312" w:hAnsi="仿宋_GB2312" w:cs="仿宋_GB2312" w:eastAsia="仿宋_GB2312"/>
          <w:sz w:val="28"/>
          <w:b/>
        </w:rPr>
        <w:t>汉中市医疗保障局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汉中市医疗保障局</w:t>
      </w:r>
      <w:r>
        <w:rPr>
          <w:rFonts w:ascii="仿宋_GB2312" w:hAnsi="仿宋_GB2312" w:cs="仿宋_GB2312" w:eastAsia="仿宋_GB2312"/>
        </w:rPr>
        <w:t>委托，拟对</w:t>
      </w:r>
      <w:r>
        <w:rPr>
          <w:rFonts w:ascii="仿宋_GB2312" w:hAnsi="仿宋_GB2312" w:cs="仿宋_GB2312" w:eastAsia="仿宋_GB2312"/>
        </w:rPr>
        <w:t>汉中市2025-2026年基本医疗保险门诊慢特病承办服务项目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SCZB2025-ZB-0160-001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汉中市2025-2026年基本医疗保险门诊慢特病承办服务项目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负责全市基本医疗保险门诊慢特病经办服务工作，包括但不限于受理政策咨询及举报投诉、搭建使用门诊慢特病经办管理信息系统、受理门诊慢特病资格申请、组织鉴定复审、备案登记、费用审核、结算支付、配合医保部门开展医保基金监管、门诊慢特病运行分析和资料归档保存。采购包1为年度报销额的60%，采购包2为年度报销额的40%.</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要求2：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3、特定资格要求3：投标人须为保险公司总公司或总公司授权的唯一地市级及以上分支机构。分支机构参与投标时需提供总公司授权书。</w:t>
      </w:r>
    </w:p>
    <w:p>
      <w:pPr>
        <w:pStyle w:val="null3"/>
      </w:pPr>
      <w:r>
        <w:rPr>
          <w:rFonts w:ascii="仿宋_GB2312" w:hAnsi="仿宋_GB2312" w:cs="仿宋_GB2312" w:eastAsia="仿宋_GB2312"/>
        </w:rPr>
        <w:t>4、特定资格要求4：提供《汉中市政府采购供应商资格承诺函》</w:t>
      </w:r>
    </w:p>
    <w:p>
      <w:pPr>
        <w:pStyle w:val="null3"/>
      </w:pPr>
      <w:r>
        <w:rPr>
          <w:rFonts w:ascii="仿宋_GB2312" w:hAnsi="仿宋_GB2312" w:cs="仿宋_GB2312" w:eastAsia="仿宋_GB2312"/>
        </w:rPr>
        <w:t>5、特定资格要求5：投标人单位负责人为同一人或者存在直接控股、管理关系的不同投标人，不得同时参加本次采购活动。</w:t>
      </w:r>
    </w:p>
    <w:p>
      <w:pPr>
        <w:pStyle w:val="null3"/>
      </w:pPr>
      <w:r>
        <w:rPr>
          <w:rFonts w:ascii="仿宋_GB2312" w:hAnsi="仿宋_GB2312" w:cs="仿宋_GB2312" w:eastAsia="仿宋_GB2312"/>
        </w:rPr>
        <w:t>6、特定资格要求6：为本项目提供整体设计、规范编制或者项目管理、监理、检测等服务的供应商，不得再参加该采购项目的其他采购活动。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要求2：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3、特定资格要求3：投标人须为保险公司总公司或总公司授权的唯一地市级及以上分支机构。分支机构参与投标时需提供总公司授权书。</w:t>
      </w:r>
    </w:p>
    <w:p>
      <w:pPr>
        <w:pStyle w:val="null3"/>
      </w:pPr>
      <w:r>
        <w:rPr>
          <w:rFonts w:ascii="仿宋_GB2312" w:hAnsi="仿宋_GB2312" w:cs="仿宋_GB2312" w:eastAsia="仿宋_GB2312"/>
        </w:rPr>
        <w:t>4、特定资格要求4：提供《汉中市政府采购供应商资格承诺函》</w:t>
      </w:r>
    </w:p>
    <w:p>
      <w:pPr>
        <w:pStyle w:val="null3"/>
      </w:pPr>
      <w:r>
        <w:rPr>
          <w:rFonts w:ascii="仿宋_GB2312" w:hAnsi="仿宋_GB2312" w:cs="仿宋_GB2312" w:eastAsia="仿宋_GB2312"/>
        </w:rPr>
        <w:t>5、特定资格要求5：投标人单位负责人为同一人或者存在直接控股、管理关系的不同投标人，不得同时参加本次采购活动。</w:t>
      </w:r>
    </w:p>
    <w:p>
      <w:pPr>
        <w:pStyle w:val="null3"/>
      </w:pPr>
      <w:r>
        <w:rPr>
          <w:rFonts w:ascii="仿宋_GB2312" w:hAnsi="仿宋_GB2312" w:cs="仿宋_GB2312" w:eastAsia="仿宋_GB2312"/>
        </w:rPr>
        <w:t>6、特定资格要求6：为本项目提供整体设计、规范编制或者项目管理、监理、检测等服务的供应商，不得再参加该采购项目的其他采购活动。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0916-2626381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银行账号：103662456743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代理服务费收费标准：参照国家计委计价格[2002]1980号文件规定收费标准的67%（按采购包）收取。中标单位的招标代理服务费缴纳信息 银行户名：陕西省采购招标有限责任公司 开户银行：中国光大银行西安友谊路支行账号：78560188000095264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汉中市医疗保障局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汉中市医疗保障局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地址：西安市高新二路2号山西证券大厦8层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全市基本医疗保险门诊慢特病经办服务工作，包括但不限于受理政策咨询及举报投诉、搭建使用门诊慢特病经办管理信息系统、受理门诊慢特病资格申请、组织鉴定复审、备案登记、审核结算、费用支付、配合医保部门开展门诊慢特病基金监管、运行分析和资料归档保存。采购包1为年度报销额的60%，采购包2为年度报销额的40%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采购包1：汉中市2025-2026年基本医疗保险门诊慢特病承办服务项目（包1）</w:t>
            </w:r>
          </w:p>
          <w:p>
            <w:pPr>
              <w:pStyle w:val="null3"/>
            </w:pPr>
            <w:r>
              <w:rPr>
                <w:rFonts w:ascii="仿宋_GB2312" w:hAnsi="仿宋_GB2312" w:cs="仿宋_GB2312" w:eastAsia="仿宋_GB2312"/>
                <w:b/>
              </w:rPr>
              <w:t>一、项目概述</w:t>
            </w:r>
          </w:p>
          <w:p>
            <w:pPr>
              <w:pStyle w:val="null3"/>
            </w:pPr>
            <w:r>
              <w:rPr>
                <w:rFonts w:ascii="仿宋_GB2312" w:hAnsi="仿宋_GB2312" w:cs="仿宋_GB2312" w:eastAsia="仿宋_GB2312"/>
              </w:rPr>
              <w:t>基本医疗保险门诊慢性病、特殊病（以下简称基本医保门诊慢特病）是指临床诊断明确、病情相对稳定、治疗方案变化不大，需长期或明确治疗周期在门诊治疗，符合基本医疗保险统筹基金支付范围的慢性病和特殊疾病。为进一步提高本市基本医保门诊慢特病精细化服务水平，方便参保患者线上申办，推动便民利民惠民高质量医保服务体系向纵深发展，提高医疗保障服务效能，有效防范基金风险，控制门诊慢特病医疗费用不合理增长，按照国务院印发《关于进一步优化政务服务提升行政效能推动“高效办成一件事”的指导意见》、《陕西省医疗保障局 陕西省财政厅 陕西省卫生健康委员会关于印发&lt;陕西省基本医疗保险门诊慢特病规范管理办法&gt;的通知》（陕医保发〔2024〕35号）、《汉中市医疗保障局市财政局市卫健委关于印发汉中市基本医疗保险门诊慢特病实施办法的通知》（汉市医保发〔2024〕66号）等文件精神，为确保基本医保门诊慢特病工作顺利开展，拟采用公开招标方式选定两家供应商共同为第三方承办机构，负责全市基本医疗保险门诊慢特病全流程经办工作，包括但不限于受理政策咨询及举报投诉、搭建使用门诊慢特病经办管理信息系统、线上线下受理申请、组织鉴定、信息备案、费用审核、结算支付、配合医保部门开展医保基金监管、门诊慢特病保险运行分析和资料归档保存等。</w:t>
            </w:r>
          </w:p>
          <w:p>
            <w:pPr>
              <w:pStyle w:val="null3"/>
            </w:pPr>
            <w:r>
              <w:rPr>
                <w:rFonts w:ascii="仿宋_GB2312" w:hAnsi="仿宋_GB2312" w:cs="仿宋_GB2312" w:eastAsia="仿宋_GB2312"/>
                <w:b/>
              </w:rPr>
              <w:t>二、项目预算</w:t>
            </w:r>
          </w:p>
          <w:p>
            <w:pPr>
              <w:pStyle w:val="null3"/>
            </w:pPr>
            <w:r>
              <w:rPr>
                <w:rFonts w:ascii="仿宋_GB2312" w:hAnsi="仿宋_GB2312" w:cs="仿宋_GB2312" w:eastAsia="仿宋_GB2312"/>
              </w:rPr>
              <w:t>总预算：120万元/年，为年度报销额的60%</w:t>
            </w:r>
          </w:p>
          <w:p>
            <w:pPr>
              <w:pStyle w:val="null3"/>
            </w:pPr>
            <w:r>
              <w:rPr>
                <w:rFonts w:ascii="仿宋_GB2312" w:hAnsi="仿宋_GB2312" w:cs="仿宋_GB2312" w:eastAsia="仿宋_GB2312"/>
                <w:b/>
              </w:rPr>
              <w:t>三、承办服务对象</w:t>
            </w:r>
          </w:p>
          <w:p>
            <w:pPr>
              <w:pStyle w:val="null3"/>
            </w:pPr>
            <w:r>
              <w:rPr>
                <w:rFonts w:ascii="仿宋_GB2312" w:hAnsi="仿宋_GB2312" w:cs="仿宋_GB2312" w:eastAsia="仿宋_GB2312"/>
              </w:rPr>
              <w:t>汉中市基本医疗保险参保人员。</w:t>
            </w:r>
          </w:p>
          <w:p>
            <w:pPr>
              <w:pStyle w:val="null3"/>
            </w:pPr>
            <w:r>
              <w:rPr>
                <w:rFonts w:ascii="仿宋_GB2312" w:hAnsi="仿宋_GB2312" w:cs="仿宋_GB2312" w:eastAsia="仿宋_GB2312"/>
                <w:b/>
              </w:rPr>
              <w:t>四、承办服务人数</w:t>
            </w:r>
          </w:p>
          <w:p>
            <w:pPr>
              <w:pStyle w:val="null3"/>
            </w:pPr>
            <w:r>
              <w:rPr>
                <w:rFonts w:ascii="仿宋_GB2312" w:hAnsi="仿宋_GB2312" w:cs="仿宋_GB2312" w:eastAsia="仿宋_GB2312"/>
              </w:rPr>
              <w:t>约320万人/年（具体以当年实际参保缴费人数为准）。</w:t>
            </w:r>
          </w:p>
          <w:p>
            <w:pPr>
              <w:pStyle w:val="null3"/>
            </w:pPr>
            <w:r>
              <w:rPr>
                <w:rFonts w:ascii="仿宋_GB2312" w:hAnsi="仿宋_GB2312" w:cs="仿宋_GB2312" w:eastAsia="仿宋_GB2312"/>
                <w:b/>
              </w:rPr>
              <w:t>五、承办服务期间</w:t>
            </w:r>
          </w:p>
          <w:p>
            <w:pPr>
              <w:pStyle w:val="null3"/>
            </w:pPr>
            <w:r>
              <w:rPr>
                <w:rFonts w:ascii="仿宋_GB2312" w:hAnsi="仿宋_GB2312" w:cs="仿宋_GB2312" w:eastAsia="仿宋_GB2312"/>
              </w:rPr>
              <w:t>承办服务期两年，业务涵盖范围自2025年1月1日起至2026年12月31日止。承办服务意向合同一次签两年，工作协议1年一签，按照上一年度的年终考核结果，决定下一年度协议是否续签。政府采购服务合同签订后，承办方于2025 年3月底前完成承办门诊慢特病所必需的各项准备工作，于 2025年4月1日正式启动门诊慢特病承办服务工作。</w:t>
            </w:r>
          </w:p>
          <w:p>
            <w:pPr>
              <w:pStyle w:val="null3"/>
            </w:pPr>
            <w:r>
              <w:rPr>
                <w:rFonts w:ascii="仿宋_GB2312" w:hAnsi="仿宋_GB2312" w:cs="仿宋_GB2312" w:eastAsia="仿宋_GB2312"/>
                <w:b/>
              </w:rPr>
              <w:t>六、承办服务费</w:t>
            </w:r>
          </w:p>
          <w:p>
            <w:pPr>
              <w:pStyle w:val="null3"/>
            </w:pPr>
            <w:r>
              <w:rPr>
                <w:rFonts w:ascii="仿宋_GB2312" w:hAnsi="仿宋_GB2312" w:cs="仿宋_GB2312" w:eastAsia="仿宋_GB2312"/>
              </w:rPr>
              <w:t>（一）报价要求：本项目采用费率报价，报价上限为当年基本医保门诊慢特病报销总金额的1%，投标报价有效范围为1%（含）以下，报价超出1%的均视为无效投标。</w:t>
            </w:r>
          </w:p>
          <w:p>
            <w:pPr>
              <w:pStyle w:val="null3"/>
            </w:pPr>
            <w:r>
              <w:rPr>
                <w:rFonts w:ascii="仿宋_GB2312" w:hAnsi="仿宋_GB2312" w:cs="仿宋_GB2312" w:eastAsia="仿宋_GB2312"/>
                <w:b/>
              </w:rPr>
              <w:t>特别说明:依据《中华人民共和国政府采购法》第二条规定:本法所称采购，是指以合同方式有偿取得货物、工程和服务的行为，包括购买、租赁、委托、雇用等。并且本项目要求服务人员为专职人员，非兼职人员，故投标人报价不得为0%，报价为0%视为无效投标。若报价极低的或明显低于承办服务成本的，投标人须提供相关证明材料，用以证明其报价的合理性，如不能提供证明材料或证明材料依据不充分的，视为无效投标。</w:t>
            </w:r>
          </w:p>
          <w:p>
            <w:pPr>
              <w:pStyle w:val="null3"/>
            </w:pPr>
            <w:r>
              <w:rPr>
                <w:rFonts w:ascii="仿宋_GB2312" w:hAnsi="仿宋_GB2312" w:cs="仿宋_GB2312" w:eastAsia="仿宋_GB2312"/>
              </w:rPr>
              <w:t>（二）包1承办服务费年度最高限额为120万元/年，两年共计240万元。实际以当年实际报销总额×60%×中标报价为准。如当年实际报销总额×60%×中标报价的金额高于120万元，承办服务费按120万元确定。</w:t>
            </w:r>
          </w:p>
          <w:p>
            <w:pPr>
              <w:pStyle w:val="null3"/>
            </w:pPr>
            <w:r>
              <w:rPr>
                <w:rFonts w:ascii="仿宋_GB2312" w:hAnsi="仿宋_GB2312" w:cs="仿宋_GB2312" w:eastAsia="仿宋_GB2312"/>
              </w:rPr>
              <w:t>（三）承办服务费为采购方向供应商支付的经办服务款项（包括但不限于人力成本、信息系统、运营成本以及承办门诊慢特病保险各项运行成本和收益）。</w:t>
            </w:r>
          </w:p>
          <w:p>
            <w:pPr>
              <w:pStyle w:val="null3"/>
            </w:pPr>
            <w:r>
              <w:rPr>
                <w:rFonts w:ascii="仿宋_GB2312" w:hAnsi="仿宋_GB2312" w:cs="仿宋_GB2312" w:eastAsia="仿宋_GB2312"/>
              </w:rPr>
              <w:t>（四）门诊慢特病保险承办服务费按年度计算、不一次性提前支付，经医保、财政部门决算后，按决算和考核结果执行。</w:t>
            </w:r>
          </w:p>
          <w:p>
            <w:pPr>
              <w:pStyle w:val="null3"/>
            </w:pPr>
            <w:r>
              <w:rPr>
                <w:rFonts w:ascii="仿宋_GB2312" w:hAnsi="仿宋_GB2312" w:cs="仿宋_GB2312" w:eastAsia="仿宋_GB2312"/>
                <w:b/>
              </w:rPr>
              <w:t>七、承办资金要求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门诊慢特病基金在医保基金中集中管理。基金支付由供应商向市级医疗保险业务经办机构申报，经审核后向财政部门申请拨付。资金实行预算拨付制，年初预拨25%，年内按进度再拨付60%，市医保经办机构按6:4比例分别拨付包1包2供应商的基本医保门诊慢特病资金专户，剩余金额待决算、考核后按结果执行。</w:t>
            </w:r>
          </w:p>
          <w:p>
            <w:pPr>
              <w:pStyle w:val="null3"/>
            </w:pPr>
            <w:r>
              <w:rPr>
                <w:rFonts w:ascii="仿宋_GB2312" w:hAnsi="仿宋_GB2312" w:cs="仿宋_GB2312" w:eastAsia="仿宋_GB2312"/>
              </w:rPr>
              <w:t>（二）专户管理</w:t>
            </w:r>
          </w:p>
          <w:p>
            <w:pPr>
              <w:pStyle w:val="null3"/>
            </w:pPr>
            <w:r>
              <w:rPr>
                <w:rFonts w:ascii="仿宋_GB2312" w:hAnsi="仿宋_GB2312" w:cs="仿宋_GB2312" w:eastAsia="仿宋_GB2312"/>
              </w:rPr>
              <w:t>供应商应按要求设立基本医保门诊慢特病资金支出专户，实行单独核算，专账管理，确保资金安全，保证偿付能力，接受财政、审计、监察部门和医保管理部门的监督检查。</w:t>
            </w:r>
          </w:p>
          <w:p>
            <w:pPr>
              <w:pStyle w:val="null3"/>
            </w:pPr>
            <w:r>
              <w:rPr>
                <w:rFonts w:ascii="仿宋_GB2312" w:hAnsi="仿宋_GB2312" w:cs="仿宋_GB2312" w:eastAsia="仿宋_GB2312"/>
              </w:rPr>
              <w:t>（三）资金垫付</w:t>
            </w:r>
          </w:p>
          <w:p>
            <w:pPr>
              <w:pStyle w:val="null3"/>
            </w:pPr>
            <w:r>
              <w:rPr>
                <w:rFonts w:ascii="仿宋_GB2312" w:hAnsi="仿宋_GB2312" w:cs="仿宋_GB2312" w:eastAsia="仿宋_GB2312"/>
              </w:rPr>
              <w:t>供应商应建立资金垫付机制并做出具体承诺（承诺书最低须由投标人的省级公司出具并加盖公章），在基本医保门诊慢特病资金未拨付到位期间，供应商应先行垫付费用（所垫付费用按包1包2比例承担），确保及时拨付给定点医药机构及参保患者，不得影响定点医药机构和参保人的权益。若因资金垫付不及时，造成群体性上访事件或不良社会影响的，采购人有权解除中标合同，并追究相关责任。</w:t>
            </w:r>
          </w:p>
          <w:p>
            <w:pPr>
              <w:pStyle w:val="null3"/>
            </w:pPr>
            <w:r>
              <w:rPr>
                <w:rFonts w:ascii="仿宋_GB2312" w:hAnsi="仿宋_GB2312" w:cs="仿宋_GB2312" w:eastAsia="仿宋_GB2312"/>
              </w:rPr>
              <w:t>（四）基金清算</w:t>
            </w:r>
          </w:p>
          <w:p>
            <w:pPr>
              <w:pStyle w:val="null3"/>
            </w:pPr>
            <w:r>
              <w:rPr>
                <w:rFonts w:ascii="仿宋_GB2312" w:hAnsi="仿宋_GB2312" w:cs="仿宋_GB2312" w:eastAsia="仿宋_GB2312"/>
              </w:rPr>
              <w:t>医保经办机构按照市财政、医保规定要求，编制年度基金决算报告，报告基金年度运行及管理情况。如当年门诊慢特病基金支出超出年度预算额度的，由商业保险机构进行弥补，包1包2供应商按6:4比例承担亏损金额。基本医保门诊慢特病资金专户年度决算后有结余（含利息）的，中标方应将结余资金（含利息）及时返还基本医保基金财政专户。如发生基金当年入不敷出的，首先从中标方经办服务费抵扣；仍有差额时，由基金与中标方按3:7比例分担。（注：2024年度基金总额约4.8亿元）</w:t>
            </w:r>
          </w:p>
          <w:p>
            <w:pPr>
              <w:pStyle w:val="null3"/>
            </w:pPr>
            <w:r>
              <w:rPr>
                <w:rFonts w:ascii="仿宋_GB2312" w:hAnsi="仿宋_GB2312" w:cs="仿宋_GB2312" w:eastAsia="仿宋_GB2312"/>
              </w:rPr>
              <w:t>因中标方监管不力、人情鉴定、审核不严、履职不力等因素造成门诊慢特病基金损失的，由中标方全部承担。</w:t>
            </w:r>
          </w:p>
          <w:p>
            <w:pPr>
              <w:pStyle w:val="null3"/>
            </w:pPr>
            <w:r>
              <w:rPr>
                <w:rFonts w:ascii="仿宋_GB2312" w:hAnsi="仿宋_GB2312" w:cs="仿宋_GB2312" w:eastAsia="仿宋_GB2312"/>
              </w:rPr>
              <w:t>（五）经办服务费</w:t>
            </w:r>
          </w:p>
          <w:p>
            <w:pPr>
              <w:pStyle w:val="null3"/>
            </w:pPr>
            <w:r>
              <w:rPr>
                <w:rFonts w:ascii="仿宋_GB2312" w:hAnsi="仿宋_GB2312" w:cs="仿宋_GB2312" w:eastAsia="仿宋_GB2312"/>
              </w:rPr>
              <w:t>发挥其第三方参与门诊慢特病受理经办、基金监管、防范基金风险作用，将经办服务费兑付与全年门诊慢特病基金支出降幅、开展稽核检查成效挂钩。经办服务费定额的80%作为基础服务费，20%为绩效服务费，基础服务费足额支付，制定措施有效控制本年度门诊慢特病基金支出不合理增长，且稽核检查查实追回一定额度费用的，按比例兑付绩效服务费。</w:t>
            </w:r>
          </w:p>
          <w:p>
            <w:pPr>
              <w:pStyle w:val="null3"/>
            </w:pPr>
            <w:r>
              <w:rPr>
                <w:rFonts w:ascii="仿宋_GB2312" w:hAnsi="仿宋_GB2312" w:cs="仿宋_GB2312" w:eastAsia="仿宋_GB2312"/>
                <w:b/>
              </w:rPr>
              <w:t>八、承办能力要求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包括综合偿付能力、风险综合评级能力、资金垫付能力（包含垫资额和垫资时长）、社会影响力、企业信誉一般违法情况；服务部分包括服务能力水平和项目实施方案，其中服务能力水平具体包含：专业管理部门、专项服务团队、专业人员（必须包含项目负责人）、本地化服务、办公场所及硬件设备、团队管理、信息系统。项目实施方案具体包含：全市各县区内服务网点设置方案、承办门诊慢特病经办服务流程方案、信息系统建设运行方案、财务管理制度方案、风险预案应急方案、费用结算支付方案、监督检查方案、服务质量保证措施方案、运行分析方案、配合医保部门服务工作方案、培训及宣传方案、经办中心建设方案、档案管理数据安全方案，以及服务创新及增值服务内容。</w:t>
            </w:r>
          </w:p>
          <w:p>
            <w:pPr>
              <w:pStyle w:val="null3"/>
            </w:pPr>
            <w:r>
              <w:rPr>
                <w:rFonts w:ascii="仿宋_GB2312" w:hAnsi="仿宋_GB2312" w:cs="仿宋_GB2312" w:eastAsia="仿宋_GB2312"/>
              </w:rPr>
              <w:t>（二）具体要求</w:t>
            </w:r>
          </w:p>
          <w:p>
            <w:pPr>
              <w:pStyle w:val="null3"/>
            </w:pPr>
            <w:r>
              <w:rPr>
                <w:rFonts w:ascii="仿宋_GB2312" w:hAnsi="仿宋_GB2312" w:cs="仿宋_GB2312" w:eastAsia="仿宋_GB2312"/>
              </w:rPr>
              <w:t>1.由中标方包1牵头，包2配合共同在汉中市区建立独立的基本医保门诊慢特病经办服务中心，统一办理全市基本医保门诊慢特病全流程相关业务。服务中心人力资源、软硬件设施设备、办公场地等费用由包1包2供应商按6:4比例自行分担。</w:t>
            </w:r>
          </w:p>
          <w:p>
            <w:pPr>
              <w:pStyle w:val="null3"/>
            </w:pPr>
            <w:r>
              <w:rPr>
                <w:rFonts w:ascii="仿宋_GB2312" w:hAnsi="仿宋_GB2312" w:cs="仿宋_GB2312" w:eastAsia="仿宋_GB2312"/>
              </w:rPr>
              <w:t>2.供应商应按市级统筹的管理模式，组建基本医保门诊慢特病专职服务队伍，统一共同办理门诊慢特病业务。专职服务队伍中，应配备一定比例的医学（医疗、护理、药学）、计算机、财务、统计分析等专业背景的人员，能为基本医保门诊慢特病承办提供便捷高效和专业的服务。总人数不少于45人，包1不少于 27人，包2不少于18人。其中各包医学类专业人员占比不少于 50%。具备较强的服务意识和专业素养，人员配备相对稳定，原则上不得随意变动。</w:t>
            </w:r>
          </w:p>
          <w:p>
            <w:pPr>
              <w:pStyle w:val="null3"/>
            </w:pPr>
            <w:r>
              <w:rPr>
                <w:rFonts w:ascii="仿宋_GB2312" w:hAnsi="仿宋_GB2312" w:cs="仿宋_GB2312" w:eastAsia="仿宋_GB2312"/>
              </w:rPr>
              <w:t>3.原则上供应商在全市各县区有稳定且独立运营的分支机构。在市、县区医保经办中心设立服务窗口，派驻专职工作人员，负责该辖区基本医保门诊慢特病相关政策宣传咨询答复、申请受理、组织鉴定、信息备案、费用审核、结算支付、运行分析、配合医保部门进行稽核监督和档案管理等业务。</w:t>
            </w:r>
          </w:p>
          <w:p>
            <w:pPr>
              <w:pStyle w:val="null3"/>
            </w:pPr>
            <w:r>
              <w:rPr>
                <w:rFonts w:ascii="仿宋_GB2312" w:hAnsi="仿宋_GB2312" w:cs="仿宋_GB2312" w:eastAsia="仿宋_GB2312"/>
              </w:rPr>
              <w:t>4.服务窗口人力资源、软硬件设施设备、办公场地租赁等费用由中标方自行承担，具体费用按包1包2比例进行划分。</w:t>
            </w:r>
          </w:p>
          <w:p>
            <w:pPr>
              <w:pStyle w:val="null3"/>
            </w:pPr>
            <w:r>
              <w:rPr>
                <w:rFonts w:ascii="仿宋_GB2312" w:hAnsi="仿宋_GB2312" w:cs="仿宋_GB2312" w:eastAsia="仿宋_GB2312"/>
              </w:rPr>
              <w:t>5.包1中标方牵头方制定全市统一的服务网点人员架构设置、岗位职责、岗位工作标准及服务流程等，报市医保经办机构备案后执行。中标方包2配合包1中标方进行人员岗位安置。</w:t>
            </w:r>
          </w:p>
          <w:p>
            <w:pPr>
              <w:pStyle w:val="null3"/>
            </w:pPr>
            <w:r>
              <w:rPr>
                <w:rFonts w:ascii="仿宋_GB2312" w:hAnsi="仿宋_GB2312" w:cs="仿宋_GB2312" w:eastAsia="仿宋_GB2312"/>
              </w:rPr>
              <w:t>6.建立完善信息系统。包1中标方开发建设门诊慢特病经办管理信息系统，其功能模块应该包括且不限于系统框架结构、业务流程设计、线上线下申请受理管理、鉴定复审管理、信息备案管理、定点机构管理和服务过程跟踪管理、结算支付管理、档案管理、稽核巡查和智能监控等方面。同时要根据政策变动和业务需求适时升级，提高运用信息技术手段监控医疗费用支出的能力，不断提升信息系统对经办业务的支持力度和日常维护。包2中标方需按要求做好日常经办工作和包1中标方的其他配合工作，提出优化完善意见。供应商应加强信息系统的管理和维护，建立并执行严格的保密制度，严格用户权限管理，切实保护参保人信息安全。不得向定点医药机构收取任何与信息系统端口改造相关的任何费用。</w:t>
            </w:r>
          </w:p>
          <w:p>
            <w:pPr>
              <w:pStyle w:val="null3"/>
            </w:pPr>
            <w:r>
              <w:rPr>
                <w:rFonts w:ascii="仿宋_GB2312" w:hAnsi="仿宋_GB2312" w:cs="仿宋_GB2312" w:eastAsia="仿宋_GB2312"/>
              </w:rPr>
              <w:t>7.承办服务内容。由包1中标方牵头组织经办服务工作方案（标书中须包含详细的工作方案）、包2中标方配合出台经办服务工作方案（标书中须包含如何配合包1中标方的工作方案）、包1包2要建立中标方的合作和争议机制。具体承办工作由包1包2中标方协作完成。</w:t>
            </w:r>
          </w:p>
          <w:p>
            <w:pPr>
              <w:pStyle w:val="null3"/>
            </w:pPr>
            <w:r>
              <w:rPr>
                <w:rFonts w:ascii="仿宋_GB2312" w:hAnsi="仿宋_GB2312" w:cs="仿宋_GB2312" w:eastAsia="仿宋_GB2312"/>
              </w:rPr>
              <w:t>（1）建立标准化经办服务流程。在中标方包1牵头下制定门诊慢特病内部管理办法和工作人员岗位职责，围绕参保患者申请，承办机构受理、组织鉴定、备案结果反馈、费用审核等受理鉴定流程“一站式”“一窗口”，以及支付结算、稽核核查，建立标准化的经办服务流程，提高经办服务质量。</w:t>
            </w:r>
          </w:p>
          <w:p>
            <w:pPr>
              <w:pStyle w:val="null3"/>
            </w:pPr>
            <w:r>
              <w:rPr>
                <w:rFonts w:ascii="仿宋_GB2312" w:hAnsi="仿宋_GB2312" w:cs="仿宋_GB2312" w:eastAsia="仿宋_GB2312"/>
              </w:rPr>
              <w:t>（2）信息化需求。提供门诊慢特病专属服务系统，受理线上线下申请，便于开展门诊慢特病资格鉴定、结算费用智能审核服务，提高慢特病医疗保障基金风险管控信息化水平。确保数据的安全存储和传输，同时实现与医保部门信息系统的数据共享，以便及时获取和更新参保人员的信息。不得向定点医药机构收取与门诊慢特病专属服务系统接口改造相关的任何费用，及时无条件提供技术支持。</w:t>
            </w:r>
          </w:p>
          <w:p>
            <w:pPr>
              <w:pStyle w:val="null3"/>
            </w:pPr>
            <w:r>
              <w:rPr>
                <w:rFonts w:ascii="仿宋_GB2312" w:hAnsi="仿宋_GB2312" w:cs="仿宋_GB2312" w:eastAsia="仿宋_GB2312"/>
              </w:rPr>
              <w:t>（3）受理申请、审核资料。线上线下受理基本医保门诊慢特病资格申请，对申请信息进行初审，无异议的按要求在规定时间内组织鉴定专家开展鉴定。</w:t>
            </w:r>
          </w:p>
          <w:p>
            <w:pPr>
              <w:pStyle w:val="null3"/>
            </w:pPr>
            <w:r>
              <w:rPr>
                <w:rFonts w:ascii="仿宋_GB2312" w:hAnsi="仿宋_GB2312" w:cs="仿宋_GB2312" w:eastAsia="仿宋_GB2312"/>
              </w:rPr>
              <w:t>（4）组织全过程鉴定认定。中标方负责组织开展鉴定审核，包括但不限于做好鉴定复审、鉴定结论登记、信息备案及相关材料的归档管理等。</w:t>
            </w:r>
          </w:p>
          <w:p>
            <w:pPr>
              <w:pStyle w:val="null3"/>
            </w:pPr>
            <w:r>
              <w:rPr>
                <w:rFonts w:ascii="仿宋_GB2312" w:hAnsi="仿宋_GB2312" w:cs="仿宋_GB2312" w:eastAsia="仿宋_GB2312"/>
              </w:rPr>
              <w:t>（5）配合医保部门开展门诊慢特病基金监管工作。要配合医保部门通过台账审核、现场稽核、随机抽查、电话回访核查等方式开展基本医保门诊慢特病基金监管。</w:t>
            </w:r>
          </w:p>
          <w:p>
            <w:pPr>
              <w:pStyle w:val="null3"/>
            </w:pPr>
            <w:r>
              <w:rPr>
                <w:rFonts w:ascii="仿宋_GB2312" w:hAnsi="仿宋_GB2312" w:cs="仿宋_GB2312" w:eastAsia="仿宋_GB2312"/>
              </w:rPr>
              <w:t>（6）费用结算。中标方按照医保部门基金支付待遇清单规定的月结清算时限要求及时、足额结算和支付。包1供应商作为牵头方，应制定合理的门诊慢特病费用结算方案，确保费用支付及时；包2供应商须配合执行。</w:t>
            </w:r>
          </w:p>
          <w:p>
            <w:pPr>
              <w:pStyle w:val="null3"/>
            </w:pPr>
            <w:r>
              <w:rPr>
                <w:rFonts w:ascii="仿宋_GB2312" w:hAnsi="仿宋_GB2312" w:cs="仿宋_GB2312" w:eastAsia="仿宋_GB2312"/>
              </w:rPr>
              <w:t>（7）受理政策咨询及举报投诉。各服务窗口开通经办服务电话，受理门诊慢特病政策咨询、举报投诉，并按要求办结。</w:t>
            </w:r>
          </w:p>
          <w:p>
            <w:pPr>
              <w:pStyle w:val="null3"/>
            </w:pPr>
            <w:r>
              <w:rPr>
                <w:rFonts w:ascii="仿宋_GB2312" w:hAnsi="仿宋_GB2312" w:cs="仿宋_GB2312" w:eastAsia="仿宋_GB2312"/>
              </w:rPr>
              <w:t>（8）档案管理与数据统计分析。按照标准化、科学化的档案管理要求，采取“一人一档”方式，为每个参保患者建立纸质及电子档案，包括申请人个人基本信息资料、申请表、病历资料、待遇享受、核查记录等。档案所有权归市医保经办中心，双方合作期间，档案由中标方保管，如不再继续合作，应将档案、系统数据等资料及时移交给市医保经办中心。</w:t>
            </w:r>
          </w:p>
          <w:p>
            <w:pPr>
              <w:pStyle w:val="null3"/>
            </w:pPr>
            <w:r>
              <w:rPr>
                <w:rFonts w:ascii="仿宋_GB2312" w:hAnsi="仿宋_GB2312" w:cs="仿宋_GB2312" w:eastAsia="仿宋_GB2312"/>
              </w:rPr>
              <w:t>（9）接受医保部门的监督和考核。配合医保部门开展检查和稽核工作。根据医保部门确定专项检查重点、针对医疗费用花销大、基金支出多的门诊慢特病病种开展重点稽核，其中未设置限额的三种门诊慢特病检查比例不低于该病种总数的70%，并将结果报送医保部门。</w:t>
            </w:r>
          </w:p>
          <w:p>
            <w:pPr>
              <w:pStyle w:val="null3"/>
            </w:pPr>
            <w:r>
              <w:rPr>
                <w:rFonts w:ascii="仿宋_GB2312" w:hAnsi="仿宋_GB2312" w:cs="仿宋_GB2312" w:eastAsia="仿宋_GB2312"/>
              </w:rPr>
              <w:t>（10）定期向医保部门报告工作进展和业务数据。按月、季度于次月（季）10日前向医保部门报送实施情况、基金运行分析报告、月度报表基金运行和承保经办服务的运行分析等报告。发现基金运行异常情况要做好深入调查和问题剖析，在7个工作日内以书面形式向医保部门提出预警，提供可行的建议或方案。</w:t>
            </w:r>
          </w:p>
          <w:p>
            <w:pPr>
              <w:pStyle w:val="null3"/>
            </w:pPr>
            <w:r>
              <w:rPr>
                <w:rFonts w:ascii="仿宋_GB2312" w:hAnsi="仿宋_GB2312" w:cs="仿宋_GB2312" w:eastAsia="仿宋_GB2312"/>
              </w:rPr>
              <w:t>8.服务创新及增值服务是指投标人提出具有创新性的门诊慢特病经办管理理念或模式，能够有效提升门诊慢特病患者的就医体验、服务质量和参保患者满意度等。</w:t>
            </w:r>
          </w:p>
          <w:p>
            <w:pPr>
              <w:pStyle w:val="null3"/>
            </w:pPr>
            <w:r>
              <w:rPr>
                <w:rFonts w:ascii="仿宋_GB2312" w:hAnsi="仿宋_GB2312" w:cs="仿宋_GB2312" w:eastAsia="仿宋_GB2312"/>
              </w:rPr>
              <w:t>（三)承办商保公司职责</w:t>
            </w:r>
          </w:p>
          <w:p>
            <w:pPr>
              <w:pStyle w:val="null3"/>
            </w:pPr>
            <w:r>
              <w:rPr>
                <w:rFonts w:ascii="仿宋_GB2312" w:hAnsi="仿宋_GB2312" w:cs="仿宋_GB2312" w:eastAsia="仿宋_GB2312"/>
              </w:rPr>
              <w:t>承办商保公司主要承办：门诊慢特病政策宣传与咨询，组建管理医疗鉴定专家组，开展定点医药机构工作人员和鉴定专家的培训；开发应用门诊慢特病经办管理系统；受理线上线下门诊慢特病病种资格申请、组织鉴定、信息备案及结果送达；门诊慢特病定点医药机构月结数据核对，费用审核结算、支付管理；接受医保部门监督考核，定期向医保部门报告工作进展和业务数据；配合做好使用门诊慢特病医保基金稽核和年度考核；做好门诊慢特病定点机构服务质量监管、服务质量举报投诉受理和满意度调查及评价；资料整理归集和建档（备份)；其他协商需要委托承办的业务。</w:t>
            </w:r>
          </w:p>
          <w:p>
            <w:pPr>
              <w:pStyle w:val="null3"/>
            </w:pPr>
            <w:r>
              <w:rPr>
                <w:rFonts w:ascii="仿宋_GB2312" w:hAnsi="仿宋_GB2312" w:cs="仿宋_GB2312" w:eastAsia="仿宋_GB2312"/>
              </w:rPr>
              <w:t>包1包2中标公司要共同成立独立于商保机构之外的门诊慢特病承办服务中心，配置办公软硬件设施，满足日常工作需求。按照要求划分职能和配备全职工作人员，在市门诊慢特病承办服务中心配备承办业务足够的工作人员，分设管理岗、受理岗、审核岗、财务岗、咨询回访岗、稽核岗等岗位，负责统筹安排日常经办事务，在各级医保经办机构派驻专职人员实行联合办公开展工作。严格按照门诊慢特病规定的项目和标准支出，不得擅自增加支出项目、随意提高补偿标准；强化内部控制管理，规范支出测算、审核和支付，确保医保基金安全。按政府财务统计的时限规定提供报表，无条件向医保经办中心提供本项目产生的全部数据信息，资料报表和档案等。接受市医保经办中心的监督考核；履行招标文件建立资金先行支付机制，不得因资金未到位，暂停工作，影响社会和谐与参保人的利益。</w:t>
            </w:r>
          </w:p>
          <w:p>
            <w:pPr>
              <w:pStyle w:val="null3"/>
            </w:pPr>
            <w:r>
              <w:rPr>
                <w:rFonts w:ascii="仿宋_GB2312" w:hAnsi="仿宋_GB2312" w:cs="仿宋_GB2312" w:eastAsia="仿宋_GB2312"/>
              </w:rPr>
              <w:t>包1包2中标公司共同完成承办工作。包1中标公司提供免费使用的门诊慢特病专属信息系统并做好相关的升级、维护工作，制定内部岗位职责和内部考核指标，制定明确的专户资金支付流程、费用分摊办法，共同做好门诊慢特病承办服务中心管理工作。</w:t>
            </w:r>
          </w:p>
          <w:p>
            <w:pPr>
              <w:pStyle w:val="null3"/>
            </w:pPr>
            <w:r>
              <w:rPr>
                <w:rFonts w:ascii="仿宋_GB2312" w:hAnsi="仿宋_GB2312" w:cs="仿宋_GB2312" w:eastAsia="仿宋_GB2312"/>
              </w:rPr>
              <w:t>（四）门诊慢特病相关政策</w:t>
            </w:r>
          </w:p>
          <w:p>
            <w:pPr>
              <w:pStyle w:val="null3"/>
            </w:pPr>
            <w:r>
              <w:rPr>
                <w:rFonts w:ascii="仿宋_GB2312" w:hAnsi="仿宋_GB2312" w:cs="仿宋_GB2312" w:eastAsia="仿宋_GB2312"/>
              </w:rPr>
              <w:t>依据陕西省医疗保障局、省财政厅、省卫生健康委员会关于印发《陕西省基本医疗保险门诊慢特病管理办法》的通知（陕医保发〔2024〕35 号），陕西省医疗保障局《关于印发全省基本医疗保险门诊慢特病相关业务标准的通知》（陕医保发〔2024〕36 号），汉中市医疗保障局、市财政局、市卫健委关于印发《汉中市基本医疗保险门诊慢特病实施办法的通知》（汉医保发〔2024〕66号）执行。</w:t>
            </w:r>
          </w:p>
          <w:p>
            <w:pPr>
              <w:pStyle w:val="null3"/>
            </w:pPr>
            <w:r>
              <w:rPr>
                <w:rFonts w:ascii="仿宋_GB2312" w:hAnsi="仿宋_GB2312" w:cs="仿宋_GB2312" w:eastAsia="仿宋_GB2312"/>
              </w:rPr>
              <w:t>1.病种申请：汉中市基本医保参保人员所患疾病符合全省统一门诊慢特病I类病种鉴定标准，提供必需的病历资料接受统一组织认定，属于门诊慢特病I类病种和Ⅱ类病种按规定时限需进行复审的，提供必需的病历资料接受统一组织复审。中标公司负责市域内新申报门诊慢特病及待遇到期复审人员的资格认定，统计汇总。</w:t>
            </w:r>
          </w:p>
          <w:p>
            <w:pPr>
              <w:pStyle w:val="null3"/>
            </w:pPr>
            <w:r>
              <w:rPr>
                <w:rFonts w:ascii="仿宋_GB2312" w:hAnsi="仿宋_GB2312" w:cs="仿宋_GB2312" w:eastAsia="仿宋_GB2312"/>
              </w:rPr>
              <w:t xml:space="preserve">2.待遇享受：门诊慢特病待遇支付实行年度参保、年度享受，以自然年度为待遇周期。参保人员取得门诊慢特病身份后次月开始享受待遇，恶性肿瘤门诊治疗、器官移植抗排异治疗、透析人员取得门诊慢特病身份后即可享受待遇。初次认定门诊慢特病身份年度的最高支付限额为该病种年度最高支付限额月平均值乘以剩余月份数取整确定。对门诊慢特病实行月度限额管理，每月医保支付金额原则上不超过月均限额的3倍。 </w:t>
            </w:r>
          </w:p>
          <w:p>
            <w:pPr>
              <w:pStyle w:val="null3"/>
            </w:pPr>
            <w:r>
              <w:rPr>
                <w:rFonts w:ascii="仿宋_GB2312" w:hAnsi="仿宋_GB2312" w:cs="仿宋_GB2312" w:eastAsia="仿宋_GB2312"/>
              </w:rPr>
              <w:t>3.支付范围：门诊慢特病支付范围不设置病种用药，凡与申请认定病种（含并发症）相关的符合基本医疗保险用药目录（不含特药）、诊疗项目范围、医疗服务设施范围和支付标准内的检查、检验、药品、治疗、特殊卫生材料等医疗费用均可支付。与申请认定病种（含并发症）无关或上述目录外的检查、检验、药品、治疗、特殊材料等费用不予支付。</w:t>
            </w:r>
          </w:p>
          <w:p>
            <w:pPr>
              <w:pStyle w:val="null3"/>
            </w:pPr>
            <w:r>
              <w:rPr>
                <w:rFonts w:ascii="仿宋_GB2312" w:hAnsi="仿宋_GB2312" w:cs="仿宋_GB2312" w:eastAsia="仿宋_GB2312"/>
              </w:rPr>
              <w:t>4.支付政策：门诊慢特病病种起付线、报销比例及年度最高支付限额及复审时限等按照《汉中市基本医疗保险门诊慢特病待遇和复审时限》执行。罹患多种门诊慢特病保障范围疾病时，允许同时申报两种或两种以上门诊慢特病。年度支付限额按第一病种年度最高支付限额累加第二病种年度最高支付限额的20%和第三病种年度最高支付限额的10%和第四病种年度最高支付限额的5%计算，依次类推。按照申报病种支付限额由高到低排序确定多个病种限额计算次序。</w:t>
            </w:r>
          </w:p>
          <w:p>
            <w:pPr>
              <w:pStyle w:val="null3"/>
            </w:pPr>
            <w:r>
              <w:rPr>
                <w:rFonts w:ascii="仿宋_GB2312" w:hAnsi="仿宋_GB2312" w:cs="仿宋_GB2312" w:eastAsia="仿宋_GB2312"/>
              </w:rPr>
              <w:t>5.基金拨付及决算：市医保经办机构按照财政拨付金额按6:4的比例分别拨付承办公司专户，承办公司具体对待遇和评估费用进行支付，市医保经办中心稽核管理。年度终了后，市医保经办机构按照市财政、医保、税务部门规定要求，编制年度基金决算草案，报告基金年度运行及管理情况，经主管部门审定，最后根据采购合同、年度考核情况支付承办服务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采购包2：汉中市2025-2026年基本医疗保险门诊慢特病承办服务项目（包2）</w:t>
            </w:r>
          </w:p>
          <w:p>
            <w:pPr>
              <w:pStyle w:val="null3"/>
            </w:pPr>
            <w:r>
              <w:rPr>
                <w:rFonts w:ascii="仿宋_GB2312" w:hAnsi="仿宋_GB2312" w:cs="仿宋_GB2312" w:eastAsia="仿宋_GB2312"/>
                <w:b/>
              </w:rPr>
              <w:t>一、项目概述</w:t>
            </w:r>
          </w:p>
          <w:p>
            <w:pPr>
              <w:pStyle w:val="null3"/>
            </w:pPr>
            <w:r>
              <w:rPr>
                <w:rFonts w:ascii="仿宋_GB2312" w:hAnsi="仿宋_GB2312" w:cs="仿宋_GB2312" w:eastAsia="仿宋_GB2312"/>
              </w:rPr>
              <w:t>基本医疗保险门诊慢性病、特殊病（以下简称基本医保门诊慢特病）是指临床诊断明确、病情相对稳定、治疗方案变化不大，需长期或明确治疗周期在门诊治疗，符合基本医疗保险统筹基金支付范围的慢性病和特殊疾病。为进一步提高本市基本医保门诊慢特病精细化服务水平，方便参保患者线上申办，推动便民利民惠民高质量医保服务体系向纵深发展，提高医疗保障服务效能，有效防范基金风险，控制门诊慢特病医疗费用不合理增长，按照国务院印发《关于进一步优化政务服务提升行政效能推动“高效办成一件事”的指导意见》、《陕西省医疗保障局 陕西省财政厅 陕西省卫生健康委员会关于印发&lt;陕西省基本医疗保险门诊慢特病规范管理办法&gt;的通知》（陕医保发〔2024〕35号）、《汉中市医疗保障局市财政局市卫健委关于印发汉中市基本医疗保险门诊慢特病实施办法的通知》（汉市医保发〔2024〕66号）等文件精神，为确保2025-2026年基本医保门诊慢特病工作顺利开展，拟采用公开招标方式选定两家供应商共同为第三方承办机构，负责全市基本医疗保险门诊慢特病经办工作，包括但不限于受理政策咨询及举报投诉、搭建使用门诊慢特病经办管理信息系统、线上线下受理申请、鉴定复审、费用审核、结算支付、稽核核查、配合开展医保基金监管工作、门诊慢特病保险运行分析和资料归档保存。</w:t>
            </w:r>
          </w:p>
          <w:p>
            <w:pPr>
              <w:pStyle w:val="null3"/>
            </w:pPr>
            <w:r>
              <w:rPr>
                <w:rFonts w:ascii="仿宋_GB2312" w:hAnsi="仿宋_GB2312" w:cs="仿宋_GB2312" w:eastAsia="仿宋_GB2312"/>
                <w:b/>
              </w:rPr>
              <w:t>二、项目预算</w:t>
            </w:r>
          </w:p>
          <w:p>
            <w:pPr>
              <w:pStyle w:val="null3"/>
            </w:pPr>
            <w:r>
              <w:rPr>
                <w:rFonts w:ascii="仿宋_GB2312" w:hAnsi="仿宋_GB2312" w:cs="仿宋_GB2312" w:eastAsia="仿宋_GB2312"/>
              </w:rPr>
              <w:t>总预算：80万元/年，为年度报销额的40%</w:t>
            </w:r>
          </w:p>
          <w:p>
            <w:pPr>
              <w:pStyle w:val="null3"/>
            </w:pPr>
            <w:r>
              <w:rPr>
                <w:rFonts w:ascii="仿宋_GB2312" w:hAnsi="仿宋_GB2312" w:cs="仿宋_GB2312" w:eastAsia="仿宋_GB2312"/>
                <w:b/>
              </w:rPr>
              <w:t>三、承办服务对象</w:t>
            </w:r>
          </w:p>
          <w:p>
            <w:pPr>
              <w:pStyle w:val="null3"/>
            </w:pPr>
            <w:r>
              <w:rPr>
                <w:rFonts w:ascii="仿宋_GB2312" w:hAnsi="仿宋_GB2312" w:cs="仿宋_GB2312" w:eastAsia="仿宋_GB2312"/>
              </w:rPr>
              <w:t>汉中市基本医疗保险参保人员。</w:t>
            </w:r>
          </w:p>
          <w:p>
            <w:pPr>
              <w:pStyle w:val="null3"/>
            </w:pPr>
            <w:r>
              <w:rPr>
                <w:rFonts w:ascii="仿宋_GB2312" w:hAnsi="仿宋_GB2312" w:cs="仿宋_GB2312" w:eastAsia="仿宋_GB2312"/>
                <w:b/>
              </w:rPr>
              <w:t>四、承办服务人数</w:t>
            </w:r>
          </w:p>
          <w:p>
            <w:pPr>
              <w:pStyle w:val="null3"/>
            </w:pPr>
            <w:r>
              <w:rPr>
                <w:rFonts w:ascii="仿宋_GB2312" w:hAnsi="仿宋_GB2312" w:cs="仿宋_GB2312" w:eastAsia="仿宋_GB2312"/>
              </w:rPr>
              <w:t>约320万人/年（具体以当年实际参保缴费人数为准）。</w:t>
            </w:r>
          </w:p>
          <w:p>
            <w:pPr>
              <w:pStyle w:val="null3"/>
            </w:pPr>
            <w:r>
              <w:rPr>
                <w:rFonts w:ascii="仿宋_GB2312" w:hAnsi="仿宋_GB2312" w:cs="仿宋_GB2312" w:eastAsia="仿宋_GB2312"/>
                <w:b/>
              </w:rPr>
              <w:t>五、承办服务期间</w:t>
            </w:r>
          </w:p>
          <w:p>
            <w:pPr>
              <w:pStyle w:val="null3"/>
            </w:pPr>
            <w:r>
              <w:rPr>
                <w:rFonts w:ascii="仿宋_GB2312" w:hAnsi="仿宋_GB2312" w:cs="仿宋_GB2312" w:eastAsia="仿宋_GB2312"/>
              </w:rPr>
              <w:t>承办服务期两年，业务涵盖范围自2025年1月1日起至2026年12月31日止。承办服务意向合同一次签两年，工作协议1年一签，按照上一年度的年终考核结果，决定下一年度合同是否续签。政府采购服务合同签订后，承办方于 2025年3月底前完成承办门诊慢特病所必需的各项准备工作，于2025年4月1日正式启动门诊慢特病承办服务工作。</w:t>
            </w:r>
          </w:p>
          <w:p>
            <w:pPr>
              <w:pStyle w:val="null3"/>
            </w:pPr>
            <w:r>
              <w:rPr>
                <w:rFonts w:ascii="仿宋_GB2312" w:hAnsi="仿宋_GB2312" w:cs="仿宋_GB2312" w:eastAsia="仿宋_GB2312"/>
                <w:b/>
              </w:rPr>
              <w:t>六、承办服务费</w:t>
            </w:r>
          </w:p>
          <w:p>
            <w:pPr>
              <w:pStyle w:val="null3"/>
            </w:pPr>
            <w:r>
              <w:rPr>
                <w:rFonts w:ascii="仿宋_GB2312" w:hAnsi="仿宋_GB2312" w:cs="仿宋_GB2312" w:eastAsia="仿宋_GB2312"/>
              </w:rPr>
              <w:t>（一）报价要求：本项目采用费率报价，报价上限为当年门诊慢特病报销总金额的1%，投标报价有效范围 为1%（含）以下，报价超出1%的均视为无效投标。</w:t>
            </w:r>
          </w:p>
          <w:p>
            <w:pPr>
              <w:pStyle w:val="null3"/>
            </w:pPr>
            <w:r>
              <w:rPr>
                <w:rFonts w:ascii="仿宋_GB2312" w:hAnsi="仿宋_GB2312" w:cs="仿宋_GB2312" w:eastAsia="仿宋_GB2312"/>
                <w:b/>
              </w:rPr>
              <w:t>特别说明:依据《中华人民共和国政府采购法》第二条规定:本法所称采购，是指以合同方式有偿取得货物、工程和服务的行为，包括购买、租赁、委托、雇用等。并且本项目要求服务人员为专职人员，非兼职人员，故投标人报价不得为0%，报价为0%视为无效投标。若报价极低的或明显低于承办服务成本的，投标人须提供相关证明材料，用以证明其报价的合理性，如不能提供证明材料或证明材料依据不充分的，视为无效投标。</w:t>
            </w:r>
          </w:p>
          <w:p>
            <w:pPr>
              <w:pStyle w:val="null3"/>
            </w:pPr>
            <w:r>
              <w:rPr>
                <w:rFonts w:ascii="仿宋_GB2312" w:hAnsi="仿宋_GB2312" w:cs="仿宋_GB2312" w:eastAsia="仿宋_GB2312"/>
              </w:rPr>
              <w:t>（二）包2承办服务费年度最高限额为80万元/年，两年共计160万元。实际以当年实际报销总额×40%×中标报价为准。如当年实际报销总额×40%×中标报价的金额高于80万元，承办服务费按80万元确定。</w:t>
            </w:r>
          </w:p>
          <w:p>
            <w:pPr>
              <w:pStyle w:val="null3"/>
            </w:pPr>
            <w:r>
              <w:rPr>
                <w:rFonts w:ascii="仿宋_GB2312" w:hAnsi="仿宋_GB2312" w:cs="仿宋_GB2312" w:eastAsia="仿宋_GB2312"/>
              </w:rPr>
              <w:t>（三）承办服务费为采购方向供应商支付的经办服务款项（包括但不限于人力成本、信息系统、运营成本以及承办门诊慢特病保险各项运行成本和收益）。</w:t>
            </w:r>
          </w:p>
          <w:p>
            <w:pPr>
              <w:pStyle w:val="null3"/>
            </w:pPr>
            <w:r>
              <w:rPr>
                <w:rFonts w:ascii="仿宋_GB2312" w:hAnsi="仿宋_GB2312" w:cs="仿宋_GB2312" w:eastAsia="仿宋_GB2312"/>
              </w:rPr>
              <w:t>（四）门诊慢特病保险承办服务费按年度计算、不一次性提前支付，经医保、财政部门决算后，按决算和考核结果执行。</w:t>
            </w:r>
          </w:p>
          <w:p>
            <w:pPr>
              <w:pStyle w:val="null3"/>
            </w:pPr>
            <w:r>
              <w:rPr>
                <w:rFonts w:ascii="仿宋_GB2312" w:hAnsi="仿宋_GB2312" w:cs="仿宋_GB2312" w:eastAsia="仿宋_GB2312"/>
                <w:b/>
              </w:rPr>
              <w:t>七、承办资金要求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门诊慢特病基金在医保基金中集中管理。基金支付由供应商向市级医疗保险业务经办机构申报，经审核后向财政部门申请拨付。资金实行预算拨付制，年初预拨25%，年内按进度再拨付60%，市医保经办机构按6:4比例分别拨付包1包2供应商的基本医保门诊慢特病资金专户，剩余金额待决算后按决算结果执行。</w:t>
            </w:r>
          </w:p>
          <w:p>
            <w:pPr>
              <w:pStyle w:val="null3"/>
            </w:pPr>
            <w:r>
              <w:rPr>
                <w:rFonts w:ascii="仿宋_GB2312" w:hAnsi="仿宋_GB2312" w:cs="仿宋_GB2312" w:eastAsia="仿宋_GB2312"/>
              </w:rPr>
              <w:t>（二）专户管理</w:t>
            </w:r>
          </w:p>
          <w:p>
            <w:pPr>
              <w:pStyle w:val="null3"/>
            </w:pPr>
            <w:r>
              <w:rPr>
                <w:rFonts w:ascii="仿宋_GB2312" w:hAnsi="仿宋_GB2312" w:cs="仿宋_GB2312" w:eastAsia="仿宋_GB2312"/>
              </w:rPr>
              <w:t>供应商应按要求设立基本医保门诊慢特病资金支出专户，实行单独核算，专账管理，确保资金安全，保证偿付能力，接受财政、审计、监察部门和医保管理部门的监督检查。</w:t>
            </w:r>
          </w:p>
          <w:p>
            <w:pPr>
              <w:pStyle w:val="null3"/>
            </w:pPr>
            <w:r>
              <w:rPr>
                <w:rFonts w:ascii="仿宋_GB2312" w:hAnsi="仿宋_GB2312" w:cs="仿宋_GB2312" w:eastAsia="仿宋_GB2312"/>
              </w:rPr>
              <w:t>（三）资金垫付</w:t>
            </w:r>
          </w:p>
          <w:p>
            <w:pPr>
              <w:pStyle w:val="null3"/>
            </w:pPr>
            <w:r>
              <w:rPr>
                <w:rFonts w:ascii="仿宋_GB2312" w:hAnsi="仿宋_GB2312" w:cs="仿宋_GB2312" w:eastAsia="仿宋_GB2312"/>
              </w:rPr>
              <w:t>供应商应建立资金垫付机制并做出具体承诺（承诺书最低须由投标人的省级公司出具并加盖公章），在基本医保门诊慢特病资金未拨付到位期间，供应商应先行垫付费用（所垫付费用按包1包2比例承担），确保及时拨付给定点医药机构及参保患者，不得影响定点医药机构和参保人的权益。若因资金垫付不及时，造成群体性上访事件或不良社会影响的，采购人有权解除中标合同，并追究相关责任。</w:t>
            </w:r>
          </w:p>
          <w:p>
            <w:pPr>
              <w:pStyle w:val="null3"/>
            </w:pPr>
            <w:r>
              <w:rPr>
                <w:rFonts w:ascii="仿宋_GB2312" w:hAnsi="仿宋_GB2312" w:cs="仿宋_GB2312" w:eastAsia="仿宋_GB2312"/>
              </w:rPr>
              <w:t>（四）基金清算</w:t>
            </w:r>
          </w:p>
          <w:p>
            <w:pPr>
              <w:pStyle w:val="null3"/>
            </w:pPr>
            <w:r>
              <w:rPr>
                <w:rFonts w:ascii="仿宋_GB2312" w:hAnsi="仿宋_GB2312" w:cs="仿宋_GB2312" w:eastAsia="仿宋_GB2312"/>
              </w:rPr>
              <w:t>医保经办机构按照市财政、医保规定要求，编制年度基金决算报告，报告基金年度运行及管理情况。如当年门诊慢特病基金支出超出年度预算额度的，由商业保险机构进行弥补，包1包2供应商按6:4比例承担亏损金额。基本医保门诊</w:t>
            </w:r>
            <w:r>
              <w:rPr>
                <w:rFonts w:ascii="仿宋_GB2312" w:hAnsi="仿宋_GB2312" w:cs="仿宋_GB2312" w:eastAsia="仿宋_GB2312"/>
              </w:rPr>
              <w:t>慢特病资金专户年度决算后有结余（含利息）的，中标方应将结余资金（含利息）及时返还基本医保基金财政专户。如发生基金当年入不敷出的，首先从中标方经办服务费抵扣；仍有差额时，由基金与中标方按3:7比例分担。（注：2024年度基金总额约4.8亿元）</w:t>
            </w:r>
          </w:p>
          <w:p>
            <w:pPr>
              <w:pStyle w:val="null3"/>
            </w:pPr>
            <w:r>
              <w:rPr>
                <w:rFonts w:ascii="仿宋_GB2312" w:hAnsi="仿宋_GB2312" w:cs="仿宋_GB2312" w:eastAsia="仿宋_GB2312"/>
              </w:rPr>
              <w:t>因中标方监管不力、人情鉴定、审核不严、履职不力等因素造成门诊慢特病基金损失的，由中标方全部承担。</w:t>
            </w:r>
          </w:p>
          <w:p>
            <w:pPr>
              <w:pStyle w:val="null3"/>
            </w:pPr>
            <w:r>
              <w:rPr>
                <w:rFonts w:ascii="仿宋_GB2312" w:hAnsi="仿宋_GB2312" w:cs="仿宋_GB2312" w:eastAsia="仿宋_GB2312"/>
              </w:rPr>
              <w:t>（五）经办服务费</w:t>
            </w:r>
          </w:p>
          <w:p>
            <w:pPr>
              <w:pStyle w:val="null3"/>
            </w:pPr>
            <w:r>
              <w:rPr>
                <w:rFonts w:ascii="仿宋_GB2312" w:hAnsi="仿宋_GB2312" w:cs="仿宋_GB2312" w:eastAsia="仿宋_GB2312"/>
              </w:rPr>
              <w:t>发挥其第三方参与门诊慢特病受理经办、基金监管、防范基金风险等方面作用，将经办服务费兑付与全年门诊慢特病基金支出降幅、开展稽核检查成效挂钩。经办服务费定额的80%作为基础服务费，20%为绩效服务费，基础服务费足额支付，制定措施有效控制本年度门诊慢特病基金支出不合理增长，且稽核检查查实追回一定额度费用的，按比例兑付绩效服务费。</w:t>
            </w:r>
          </w:p>
          <w:p>
            <w:pPr>
              <w:pStyle w:val="null3"/>
              <w:jc w:val="both"/>
            </w:pPr>
            <w:r>
              <w:rPr>
                <w:rFonts w:ascii="仿宋_GB2312" w:hAnsi="仿宋_GB2312" w:cs="仿宋_GB2312" w:eastAsia="仿宋_GB2312"/>
                <w:b/>
              </w:rPr>
              <w:t>八、承办能力要求</w:t>
            </w:r>
          </w:p>
          <w:p>
            <w:pPr>
              <w:pStyle w:val="null3"/>
              <w:jc w:val="both"/>
            </w:pPr>
            <w:r>
              <w:rPr>
                <w:rFonts w:ascii="仿宋_GB2312" w:hAnsi="仿宋_GB2312" w:cs="仿宋_GB2312" w:eastAsia="仿宋_GB2312"/>
              </w:rPr>
              <w:t>（一）总体要求</w:t>
            </w:r>
          </w:p>
          <w:p>
            <w:pPr>
              <w:pStyle w:val="null3"/>
              <w:jc w:val="both"/>
            </w:pPr>
            <w:r>
              <w:rPr>
                <w:rFonts w:ascii="仿宋_GB2312" w:hAnsi="仿宋_GB2312" w:cs="仿宋_GB2312" w:eastAsia="仿宋_GB2312"/>
              </w:rPr>
              <w:t>包括综合偿付能力、风险综合评级能力、资金垫付能力（包含垫资额和垫资时长）、社会影响力、企业信誉一般违法情况；服务部分包括服务能力水平和项目实施方案，其中服务能力水平具体包含：专业管理部门、专项服务团队、专业人员（必须包含项目负责人）、本地化服务、办公场所及硬件设备、团队管理。项目实施方案具体包含：全市各县区内服务网点设置方案、承办门诊慢特病经办服务流程方案、政策咨询和举报投诉及应急方案、财务管理制度方案、风险预案应急方案、费用结算支付方案、配合开展监督检查方案、服务质量保证措施方案、运行分析方案、配合经办服务工作方案、培训及宣传方案、档案管理方案、保密措施、财务管理制度，以及服务创新及增值服务内容。</w:t>
            </w:r>
          </w:p>
          <w:p>
            <w:pPr>
              <w:pStyle w:val="null3"/>
              <w:jc w:val="both"/>
            </w:pPr>
            <w:r>
              <w:rPr>
                <w:rFonts w:ascii="仿宋_GB2312" w:hAnsi="仿宋_GB2312" w:cs="仿宋_GB2312" w:eastAsia="仿宋_GB2312"/>
              </w:rPr>
              <w:t>（二）具体要求</w:t>
            </w:r>
          </w:p>
          <w:p>
            <w:pPr>
              <w:pStyle w:val="null3"/>
              <w:jc w:val="both"/>
            </w:pPr>
            <w:r>
              <w:rPr>
                <w:rFonts w:ascii="仿宋_GB2312" w:hAnsi="仿宋_GB2312" w:cs="仿宋_GB2312" w:eastAsia="仿宋_GB2312"/>
              </w:rPr>
              <w:t>1.由中标方包1牵头，包2配合共同在汉中市区建立基本医保门诊慢特病经办服务中心，统一办理全市基本医保门诊慢特病相关业务。服务中心人力资源、软硬件设施设备、办公场地等费用由包1包2供应商按6:4比例自行分担。</w:t>
            </w:r>
          </w:p>
          <w:p>
            <w:pPr>
              <w:pStyle w:val="null3"/>
            </w:pPr>
            <w:r>
              <w:rPr>
                <w:rFonts w:ascii="仿宋_GB2312" w:hAnsi="仿宋_GB2312" w:cs="仿宋_GB2312" w:eastAsia="仿宋_GB2312"/>
              </w:rPr>
              <w:t>2.供应商应按市级统筹的管理模式，组建基本医保门诊慢特病专职服务队伍，统一办理门诊慢特病业务。专职服务队伍中，应配备一定比例的医学（医疗、护理、药学）、计算机、财务、统计分析等专业背景的人员，能为基本医保门诊慢特病承办提供便捷高效和专业的服务。总人数不少于45人，包1不少于27人，包2不少于18人。其中各包医学类专业人员占比不少于 50%。具备较强的服务意识和专业素养，人员配备相对稳定，原则上不得随意变动。</w:t>
            </w:r>
          </w:p>
          <w:p>
            <w:pPr>
              <w:pStyle w:val="null3"/>
            </w:pPr>
            <w:r>
              <w:rPr>
                <w:rFonts w:ascii="仿宋_GB2312" w:hAnsi="仿宋_GB2312" w:cs="仿宋_GB2312" w:eastAsia="仿宋_GB2312"/>
              </w:rPr>
              <w:t>3.原则上供应商在全市各县区有稳定且独立运营的分支机构。在市、县区医保经办中心设立服务窗口，派驻专职工作人员，负责该辖区基本医保门诊慢特病相关政策宣传咨询答复、申请受理、组织鉴定、系统备案、费用审核、结算支付、稽核监督和档案管理等业务。</w:t>
            </w:r>
          </w:p>
          <w:p>
            <w:pPr>
              <w:pStyle w:val="null3"/>
            </w:pPr>
            <w:r>
              <w:rPr>
                <w:rFonts w:ascii="仿宋_GB2312" w:hAnsi="仿宋_GB2312" w:cs="仿宋_GB2312" w:eastAsia="仿宋_GB2312"/>
              </w:rPr>
              <w:t>4.服务窗口人力资源、软硬件设施设备、办公场地租赁等费用由中标方自行承担，具体费用按包1包2比例进行划分。</w:t>
            </w:r>
          </w:p>
          <w:p>
            <w:pPr>
              <w:pStyle w:val="null3"/>
            </w:pPr>
            <w:r>
              <w:rPr>
                <w:rFonts w:ascii="仿宋_GB2312" w:hAnsi="仿宋_GB2312" w:cs="仿宋_GB2312" w:eastAsia="仿宋_GB2312"/>
              </w:rPr>
              <w:t>5.包1中标方牵头方制定全市统一的服务网点人员架构设置、岗位职责、岗位工作标准及服务流程等，报市医保经办机构备案后执行。中标方包2配合包1中标方进行人员岗位安置。</w:t>
            </w:r>
          </w:p>
          <w:p>
            <w:pPr>
              <w:pStyle w:val="null3"/>
            </w:pPr>
            <w:r>
              <w:rPr>
                <w:rFonts w:ascii="仿宋_GB2312" w:hAnsi="仿宋_GB2312" w:cs="仿宋_GB2312" w:eastAsia="仿宋_GB2312"/>
              </w:rPr>
              <w:t>6.建立完善信息系统。包1中标方开发建设门诊慢特病经办管理信息系统，包2中标方需按要求做好日常经办工作和包1中标方的其他配合工作，提出优化完善意见。供应商应加强信息系统的管理和维护，建立并执行严格的保密制度，</w:t>
            </w:r>
            <w:r>
              <w:rPr>
                <w:rFonts w:ascii="仿宋_GB2312" w:hAnsi="仿宋_GB2312" w:cs="仿宋_GB2312" w:eastAsia="仿宋_GB2312"/>
              </w:rPr>
              <w:t>严格用户权限管理，切实保护参保人信息安全。不得向定点医药机构收取任何与信息系统端口改造相关的任何费用。</w:t>
            </w:r>
          </w:p>
          <w:p>
            <w:pPr>
              <w:pStyle w:val="null3"/>
            </w:pPr>
            <w:r>
              <w:rPr>
                <w:rFonts w:ascii="仿宋_GB2312" w:hAnsi="仿宋_GB2312" w:cs="仿宋_GB2312" w:eastAsia="仿宋_GB2312"/>
              </w:rPr>
              <w:t>7.承办服务内容。由包1中标方牵头组织经办服务工作方案（标书中须包含详细的工作方案）、包2中标方配合出台经办服务工作方案（标书中须包含如何配合包1中标方的工作方案）、包1包2要建立中标方的合作和争议机制。具体承办工作由包1包2中标方协作完成。</w:t>
            </w:r>
          </w:p>
          <w:p>
            <w:pPr>
              <w:pStyle w:val="null3"/>
            </w:pPr>
            <w:r>
              <w:rPr>
                <w:rFonts w:ascii="仿宋_GB2312" w:hAnsi="仿宋_GB2312" w:cs="仿宋_GB2312" w:eastAsia="仿宋_GB2312"/>
              </w:rPr>
              <w:t>（1）建立标准化经办服务流程。在中标方包1牵头下制定门诊慢特病内部管理办法和工作人员岗位职责，围绕参保患者申请，承办机构受理、组织鉴定、备案结果反馈、费用审核等受理鉴定流程“一站式”“一窗口”，以及支付结算、稽核核查，建立标准化的经办服务流程，提高经办服务质量。</w:t>
            </w:r>
          </w:p>
          <w:p>
            <w:pPr>
              <w:pStyle w:val="null3"/>
            </w:pPr>
            <w:r>
              <w:rPr>
                <w:rFonts w:ascii="仿宋_GB2312" w:hAnsi="仿宋_GB2312" w:cs="仿宋_GB2312" w:eastAsia="仿宋_GB2312"/>
              </w:rPr>
              <w:t>（2）信息化需求。提供门诊慢特病专属服务系统，便于开展门诊慢特病资格鉴定、结算费用智能审核服务，提高慢特病医疗保障基金风险管控信息化水平。确保数据的安全存储和传输，同时实现与医保部门信息系统的数据共享，以便及时获取和更新参保人员的信息。</w:t>
            </w:r>
          </w:p>
          <w:p>
            <w:pPr>
              <w:pStyle w:val="null3"/>
            </w:pPr>
            <w:r>
              <w:rPr>
                <w:rFonts w:ascii="仿宋_GB2312" w:hAnsi="仿宋_GB2312" w:cs="仿宋_GB2312" w:eastAsia="仿宋_GB2312"/>
              </w:rPr>
              <w:t>（3）受理申请、审核资料。线上线下受理基本医保门诊慢特病资格申请，对申请信息进行初审，无异议的按要求在规定时间内组织鉴定专家开展鉴定。</w:t>
            </w:r>
          </w:p>
          <w:p>
            <w:pPr>
              <w:pStyle w:val="null3"/>
            </w:pPr>
            <w:r>
              <w:rPr>
                <w:rFonts w:ascii="仿宋_GB2312" w:hAnsi="仿宋_GB2312" w:cs="仿宋_GB2312" w:eastAsia="仿宋_GB2312"/>
              </w:rPr>
              <w:t>（4）组织全过程鉴定复审。经初审符合门诊慢特病评定条件的，中标方负责组织开展鉴定审核，包括但不限于做好鉴定复审、鉴定情况记录、信息备案及相关材料的归档管理等。</w:t>
            </w:r>
          </w:p>
          <w:p>
            <w:pPr>
              <w:pStyle w:val="null3"/>
            </w:pPr>
            <w:r>
              <w:rPr>
                <w:rFonts w:ascii="仿宋_GB2312" w:hAnsi="仿宋_GB2312" w:cs="仿宋_GB2312" w:eastAsia="仿宋_GB2312"/>
              </w:rPr>
              <w:t>（5）配合医保部门开展门诊慢特病基金监管工作。要配合医保部门通过台账审核、现场稽核、随机抽查、电话回访核查等方式开展门诊慢特病基金监管工作。</w:t>
            </w:r>
          </w:p>
          <w:p>
            <w:pPr>
              <w:pStyle w:val="null3"/>
            </w:pPr>
            <w:r>
              <w:rPr>
                <w:rFonts w:ascii="仿宋_GB2312" w:hAnsi="仿宋_GB2312" w:cs="仿宋_GB2312" w:eastAsia="仿宋_GB2312"/>
              </w:rPr>
              <w:t>（6）费用结算。中标方按照医保部门基金支付待遇清单规定的月结清算时限要求及时、足额结算和支付。包1供应商作为牵头方，制定合理的门诊慢特病费用结算方案，确保费用支付及时；包2供应商须配合执行。</w:t>
            </w:r>
          </w:p>
          <w:p>
            <w:pPr>
              <w:pStyle w:val="null3"/>
            </w:pPr>
            <w:r>
              <w:rPr>
                <w:rFonts w:ascii="仿宋_GB2312" w:hAnsi="仿宋_GB2312" w:cs="仿宋_GB2312" w:eastAsia="仿宋_GB2312"/>
              </w:rPr>
              <w:t>（7）受理政策咨询及举报投诉。各服务窗口开通经办服务电话，受理门诊慢特病政策咨询、举报投诉，并按要求办结。</w:t>
            </w:r>
          </w:p>
          <w:p>
            <w:pPr>
              <w:pStyle w:val="null3"/>
            </w:pPr>
            <w:r>
              <w:rPr>
                <w:rFonts w:ascii="仿宋_GB2312" w:hAnsi="仿宋_GB2312" w:cs="仿宋_GB2312" w:eastAsia="仿宋_GB2312"/>
              </w:rPr>
              <w:t>（8）档案管理与数据统计分析。按照标准化、科学化的档案管理要求，采取“一人一档”方式，为每个参保患者建立纸质及电子档案，包括申请人个人基本信息资料、申请表、病历资料、待遇享受、核查记录等。档案所有权归市医保经办中心，双方合作期间，档案由中标方保管，如不再继续合作，应将档案、系统数据等资料及时移交给市医保经办中心。</w:t>
            </w:r>
          </w:p>
          <w:p>
            <w:pPr>
              <w:pStyle w:val="null3"/>
            </w:pPr>
            <w:r>
              <w:rPr>
                <w:rFonts w:ascii="仿宋_GB2312" w:hAnsi="仿宋_GB2312" w:cs="仿宋_GB2312" w:eastAsia="仿宋_GB2312"/>
              </w:rPr>
              <w:t>（9）接受医保部门的监督和考核。配合医保部门开展检查和稽核工作。根据医保部门确定专项检查重点、针对医疗费用花销大、基金支出多的门诊慢特病病种开展重点稽核，其中未设置限额的三种门诊慢特病检查比例不低于该病种总数的70%，并将结果报送市医保经办机构。</w:t>
            </w:r>
          </w:p>
          <w:p>
            <w:pPr>
              <w:pStyle w:val="null3"/>
            </w:pPr>
            <w:r>
              <w:rPr>
                <w:rFonts w:ascii="仿宋_GB2312" w:hAnsi="仿宋_GB2312" w:cs="仿宋_GB2312" w:eastAsia="仿宋_GB2312"/>
              </w:rPr>
              <w:t>（10）定期向医保部门报告工作进展和业务数据。按月、季度于次月（季）10日前向医保部门报送实施情况、基金运行分析报告、月度报表基金运行和承保经办服务的运行分析等报告。发现基金运行异常情况要做好深入调查和问题剖析，在7个工作日内以书面形式向医保部门提出预警，提供可行的建议或方案。</w:t>
            </w:r>
          </w:p>
          <w:p>
            <w:pPr>
              <w:pStyle w:val="null3"/>
            </w:pPr>
            <w:r>
              <w:rPr>
                <w:rFonts w:ascii="仿宋_GB2312" w:hAnsi="仿宋_GB2312" w:cs="仿宋_GB2312" w:eastAsia="仿宋_GB2312"/>
              </w:rPr>
              <w:t>8.服务创新及增值服务是指投标人提出具有创新性的门诊慢特病经办管理理念或模式，能够有效提升门诊慢特病患者的就医体验、服务质量和参保患者满意度等。</w:t>
            </w:r>
          </w:p>
          <w:p>
            <w:pPr>
              <w:pStyle w:val="null3"/>
            </w:pPr>
            <w:r>
              <w:rPr>
                <w:rFonts w:ascii="仿宋_GB2312" w:hAnsi="仿宋_GB2312" w:cs="仿宋_GB2312" w:eastAsia="仿宋_GB2312"/>
              </w:rPr>
              <w:t>（三)承办商保公司职责</w:t>
            </w:r>
          </w:p>
          <w:p>
            <w:pPr>
              <w:pStyle w:val="null3"/>
            </w:pPr>
            <w:r>
              <w:rPr>
                <w:rFonts w:ascii="仿宋_GB2312" w:hAnsi="仿宋_GB2312" w:cs="仿宋_GB2312" w:eastAsia="仿宋_GB2312"/>
              </w:rPr>
              <w:t>承办商保公司主要承办：门诊慢特病政策宣传与咨询，组建医疗鉴定专家组，开展定点医药机构工作人员和鉴定专家的培训；开发应用门诊慢特病经办管理系统；受理线上线下门诊慢特病病种资格申请、组织鉴定、信息备案及结果送达；门诊慢特病定点医药机构月结数据核对，费用审核结算、支付管理；接受医保部门监督考核，定期向医保部门报告工作进展和业务数据；负责使用门诊慢特病医保基金稽核，配合做好年度考核；做好门诊慢特病定点机构服务质量监管、服务质量举报投诉受理和满意度调查及评价；资料整理归集和建档（备份)；其他协商需要委托承办的业务。</w:t>
            </w:r>
          </w:p>
          <w:p>
            <w:pPr>
              <w:pStyle w:val="null3"/>
            </w:pPr>
            <w:r>
              <w:rPr>
                <w:rFonts w:ascii="仿宋_GB2312" w:hAnsi="仿宋_GB2312" w:cs="仿宋_GB2312" w:eastAsia="仿宋_GB2312"/>
              </w:rPr>
              <w:t>包1包2中标公司要共同成立门诊慢特病承办服务中心，配置办公软硬件设施，满足日常工作需求。按照要求划分职能和配备全职工作人员，在市门诊慢特病承办服务中心配备承办业务足够的工作人员，分设管理岗、受理岗、审核岗、财务岗、咨询回访岗、稽核调查岗等岗位，负责统筹安排日常经办事务，在各级医保经办机构派驻专职人员实行联合办公开展工作。严格按照门诊慢特病规定的项目和标准支出，不得擅自增加支出项目、随意提高补偿标准；强化内部控制管理，规范支出测算、审核和支付，确保医保基金安全。按政府财务统计的时限规定提供报表，无条件向医保经办中心提供本项目产生的全部数据信息，资料报表和档案等。接受市医保经办中心的监督考核；履行招标文件建立资金先行支付机制，不得因资金未到位，暂停工作，影响社会和谐与参保人的利益。</w:t>
            </w:r>
          </w:p>
          <w:p>
            <w:pPr>
              <w:pStyle w:val="null3"/>
            </w:pPr>
            <w:r>
              <w:rPr>
                <w:rFonts w:ascii="仿宋_GB2312" w:hAnsi="仿宋_GB2312" w:cs="仿宋_GB2312" w:eastAsia="仿宋_GB2312"/>
              </w:rPr>
              <w:t>包1包2中标公司共同完成承办工作。包1中标公司提供免费使用的门诊慢特病专属信息系统并做好相关的升级、维护工作，制定内部岗位职责和内部考核指标，制定明确的专户资金支付流程、费用分摊办法，共同做好门诊慢特病承办服务中心管理工作。</w:t>
            </w:r>
          </w:p>
          <w:p>
            <w:pPr>
              <w:pStyle w:val="null3"/>
            </w:pPr>
            <w:r>
              <w:rPr>
                <w:rFonts w:ascii="仿宋_GB2312" w:hAnsi="仿宋_GB2312" w:cs="仿宋_GB2312" w:eastAsia="仿宋_GB2312"/>
              </w:rPr>
              <w:t>（四）门诊慢特病相关政策</w:t>
            </w:r>
          </w:p>
          <w:p>
            <w:pPr>
              <w:pStyle w:val="null3"/>
            </w:pPr>
            <w:r>
              <w:rPr>
                <w:rFonts w:ascii="仿宋_GB2312" w:hAnsi="仿宋_GB2312" w:cs="仿宋_GB2312" w:eastAsia="仿宋_GB2312"/>
              </w:rPr>
              <w:t>依据陕西省医保局、省财政厅、省卫健委关于印发《陕西省基本医疗保险门诊慢特病管理办法》的通知（陕医保发〔2024〕35 号），陕西省医疗保障局《关于印发全省基本医疗保险门诊慢特病相关业务标准的通知》（陕医保发〔2024〕36 号），汉中市医疗保障局、市财政局、市卫健委关于印发《汉中市基本医疗保险门诊慢特病实施办法的通知》（汉医保发〔2024〕66号）执行。</w:t>
            </w:r>
          </w:p>
          <w:p>
            <w:pPr>
              <w:pStyle w:val="null3"/>
            </w:pPr>
            <w:r>
              <w:rPr>
                <w:rFonts w:ascii="仿宋_GB2312" w:hAnsi="仿宋_GB2312" w:cs="仿宋_GB2312" w:eastAsia="仿宋_GB2312"/>
              </w:rPr>
              <w:t>1.病种申请：汉中市基本医保参保人员所患疾病符合全省统一门诊慢特病I类病种鉴定标准，提供必需的病历资料接受统一组织认定，属于门诊慢特病I类病种和Ⅱ类病种按规定时限需进行复审的，提供必需的病历资料接受统一组织复审。中标公司负责市域内新申报门诊慢特病及待遇到期复审人员的资格认定，统计汇总。</w:t>
            </w:r>
          </w:p>
          <w:p>
            <w:pPr>
              <w:pStyle w:val="null3"/>
            </w:pPr>
            <w:r>
              <w:rPr>
                <w:rFonts w:ascii="仿宋_GB2312" w:hAnsi="仿宋_GB2312" w:cs="仿宋_GB2312" w:eastAsia="仿宋_GB2312"/>
              </w:rPr>
              <w:t xml:space="preserve">2.待遇享受：门诊慢特病待遇支付实行年度参保、年度享受，以自然年度为待遇周期。参保人员取得门诊慢特病身份后次月开始享受待遇，恶性肿瘤门诊治疗、器官移植抗排异治疗、透析人员取得门诊慢特病身份后即可享受待遇。初次认定门诊慢特病身份年度的最高支付限额为该病种年度最高支付限额月平均值乘以剩余月份数取整确定。对门诊慢特病实行月度限额管理，每月医保支付金额原则上不超过月均限额的3倍。 </w:t>
            </w:r>
          </w:p>
          <w:p>
            <w:pPr>
              <w:pStyle w:val="null3"/>
            </w:pPr>
            <w:r>
              <w:rPr>
                <w:rFonts w:ascii="仿宋_GB2312" w:hAnsi="仿宋_GB2312" w:cs="仿宋_GB2312" w:eastAsia="仿宋_GB2312"/>
              </w:rPr>
              <w:t>3.支付范围：门诊慢特病支付范围不设置病种用药，凡与申请认定病种（含并发症）相关的符合基本医疗保险用药目录（不含特药）、诊疗项目范围、医疗服务设施范围和支付标准内的检查、检验、药品、治疗、特殊卫生材料等医疗费用均可支付。与申请认定病种（含并发症）无关或上述目录外的检查、检验、药品、治疗、特殊材料等费用不予支付。</w:t>
            </w:r>
          </w:p>
          <w:p>
            <w:pPr>
              <w:pStyle w:val="null3"/>
            </w:pPr>
            <w:r>
              <w:rPr>
                <w:rFonts w:ascii="仿宋_GB2312" w:hAnsi="仿宋_GB2312" w:cs="仿宋_GB2312" w:eastAsia="仿宋_GB2312"/>
              </w:rPr>
              <w:t>4.支付政策：门诊慢特病病种起付线、报销比例及年度最高支付限额及复审时限等按照《汉中市基本医疗保险门诊慢特病待遇和复审时限》执行。罹患多种门诊慢特病保障范围疾病时，允许同时申报两种或两种以上门诊慢特病。年度支付限额按第一病种年度最高支付限额累加第二病种年度最高支付限额的20%和第三病种年度最高支付限额的10%和第四病种年度最高支付限额的5%计算，依次类推。按照申报病种支付限额由高到低排序确定多个病种限额计算次序。</w:t>
            </w:r>
          </w:p>
          <w:p>
            <w:pPr>
              <w:pStyle w:val="null3"/>
            </w:pPr>
            <w:r>
              <w:rPr>
                <w:rFonts w:ascii="仿宋_GB2312" w:hAnsi="仿宋_GB2312" w:cs="仿宋_GB2312" w:eastAsia="仿宋_GB2312"/>
              </w:rPr>
              <w:t>5.基金拨付及决算：市医保经办机构按照财政拨付金额按6:4的比例分别拨付承办公司专户，承办公司具体对待遇和评估费用进行支付，市医保经办中心稽核管理。年度终了后，市医保经办机构按照市财政、医保、税务部门规定要求，编制年度基金决算草案，报告基金年度运行及管理情况。年度基金决算草案经市医保、市财政部门审定，最后根据采购合同、年度考核情况支付承办服务费用。</w:t>
            </w:r>
          </w:p>
          <w:p>
            <w:pPr>
              <w:pStyle w:val="null3"/>
              <w:ind w:firstLine="400"/>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办服务期两年，业务涵盖范围自2025年1月1日起至2026年12月31日止。承办服务意向合同一次签两年，工作协议1年一签，按照上一年度的年终考核结果，决定下一年度协议是否续签。政府采购服务合同签订后，承办方于2025年3月底前完成承办门诊慢特病所必需的各项准备工作，于2025年4月1日正式启动门诊慢特病承办服务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承办服务期两年，业务涵盖范围自2025年1月1日起至2026年12月31日止。承办服务意向合同一次签两年，工作协议1年一签，按照上一年度的年终考核结果，决定下一年度协议是否续签。政府采购服务合同签订后，承办方于2025年3月底前完成承办门诊慢特病所必需的各项准备工作，于2025年4月1日正式启动门诊慢特病承办服务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门诊慢特病保险承办服务费按年度计算、不一次性提前支付，经医保、财政部门决算后，按决算和考核结果执行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门诊慢特病保险承办服务费按年度计算、不一次性提前支付，经医保、财政部门决算后，按决算和考核结果执行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可就本项目2个采购包投标，但每家投标人只能中标1个采购包，评标将按采购包1、2顺序进行，同时参加两个采购包投标的投标人若在前一个包作为第一中标候选人被推荐，后一个包可继续参与评审，但不作为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2.提供开标前六个月内任意一个月依法缴纳税收和社会保障资金的证明材料复印件； 3.具备履行合同所必需的设备和专业技术能力的承诺书； 4.投标人参加政府采购活动前3年内在经营活动中没有重大违法记录的书面声明书；5.提供《汉中市政府采购供应商资格承诺函》。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投标人提供2023年度的财务审计报告复印件，或本年度基本开户银行出具的资信证明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2.提供开标前六个月内任意一个月依法缴纳税收和社会保障资金的证明材料复印件； 3.具备履行合同所必需的设备和专业技术能力的承诺书； 4.投标人参加政府采购活动前3年内在经营活动中没有重大违法记录的书面声明书；5.提供《汉中市政府采购供应商资格承诺函》。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投标人提供2023年度的财务审计报告复印件，或本年度基本开户银行出具的资信证明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特定资格要求3</w:t>
            </w:r>
          </w:p>
        </w:tc>
        <w:tc>
          <w:tcPr>
            <w:tcW w:type="dxa" w:w="3322"/>
          </w:tcPr>
          <w:p>
            <w:pPr>
              <w:pStyle w:val="null3"/>
            </w:pPr>
            <w:r>
              <w:rPr>
                <w:rFonts w:ascii="仿宋_GB2312" w:hAnsi="仿宋_GB2312" w:cs="仿宋_GB2312" w:eastAsia="仿宋_GB2312"/>
              </w:rPr>
              <w:t>投标人须为保险公司总公司或总公司授权的唯一地市级及以上分支机构。分支机构参与投标时需提供总公司授权书。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特定资格要求4</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特定资格要求5</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特定资格要求6</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特定资格要求3</w:t>
            </w:r>
          </w:p>
        </w:tc>
        <w:tc>
          <w:tcPr>
            <w:tcW w:type="dxa" w:w="3322"/>
          </w:tcPr>
          <w:p>
            <w:pPr>
              <w:pStyle w:val="null3"/>
            </w:pPr>
            <w:r>
              <w:rPr>
                <w:rFonts w:ascii="仿宋_GB2312" w:hAnsi="仿宋_GB2312" w:cs="仿宋_GB2312" w:eastAsia="仿宋_GB2312"/>
              </w:rPr>
              <w:t>投标人须为保险公司总公司或总公司授权的唯一地市级及以上分支机构。分支机构参与投标时需提供总公司授权书。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特定资格要求4</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特定资格要求5</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特定资格要求6</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投标人的投标报价未超出上限费率（1%）。</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投标人的报价没有出现明显低于其他通过符合性审查投标人的报价，没有影响产品质量且能诚信履约，投标人能证明其报价合理性。</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投标函 商务应答表 服务方案 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投标人的投标报价未超出上限费率（1%）。</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投标人的报价没有出现明显低于其他通过符合性审查投标人的报价，没有影响产品质量且能诚信履约，投标人能证明其报价合理性。</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投标函 商务应答表 服务方案 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风险综合评级</w:t>
            </w:r>
          </w:p>
        </w:tc>
        <w:tc>
          <w:tcPr>
            <w:tcW w:type="dxa" w:w="2492"/>
          </w:tcPr>
          <w:p>
            <w:pPr>
              <w:pStyle w:val="null3"/>
            </w:pPr>
            <w:r>
              <w:rPr>
                <w:rFonts w:ascii="仿宋_GB2312" w:hAnsi="仿宋_GB2312" w:cs="仿宋_GB2312" w:eastAsia="仿宋_GB2312"/>
              </w:rPr>
              <w:t>根据投标人提供的其总公司2022年第三季度至2024年第三季度共8个季度风险综合评级情况，按以下规则打分： ①风险综合评级为A的，得4分； ②风险综合评级为B的，得2分； ③风险综合评级为C及以下的，得0分； （根据《保险公司偿付能力监管规则第10号： 风险综合评级》）注：提供国家金融监督管理总局（原中国银行保险监督管理委员会）偿二代监管信息系统查询截图并加盖公章。未提供或提供不齐全的不得分。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综合偿付能力</w:t>
            </w:r>
          </w:p>
        </w:tc>
        <w:tc>
          <w:tcPr>
            <w:tcW w:type="dxa" w:w="2492"/>
          </w:tcPr>
          <w:p>
            <w:pPr>
              <w:pStyle w:val="null3"/>
            </w:pPr>
            <w:r>
              <w:rPr>
                <w:rFonts w:ascii="仿宋_GB2312" w:hAnsi="仿宋_GB2312" w:cs="仿宋_GB2312" w:eastAsia="仿宋_GB2312"/>
              </w:rPr>
              <w:t>根据投标人提供的其总公司2022及2023两个年度末综合偿付能力充足率情况，每一年度按规则评分，合计计算总分： 1.综合偿付能力充足率＜100%,得0分； 2.150%≤综合偿付能力充足率＜120%,得1分； 3.180%≤综合偿付能力充足率＜150%,得2分； 4.综合偿付能力充足率≥180%,得3分。 注：提供总公司经审计的2022-2023年度偿付能力报告复印件并加盖公章。未提供的本项得0分。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资金先行垫付能力</w:t>
            </w:r>
          </w:p>
        </w:tc>
        <w:tc>
          <w:tcPr>
            <w:tcW w:type="dxa" w:w="2492"/>
          </w:tcPr>
          <w:p>
            <w:pPr>
              <w:pStyle w:val="null3"/>
            </w:pPr>
            <w:r>
              <w:rPr>
                <w:rFonts w:ascii="仿宋_GB2312" w:hAnsi="仿宋_GB2312" w:cs="仿宋_GB2312" w:eastAsia="仿宋_GB2312"/>
              </w:rPr>
              <w:t>根据投标人承诺的资金先行垫付能力打分： 1.承诺的资金先行垫付额度超过1500万（含）的，得4分； 2.承诺的资金先行垫付额度在1000万（含）-1500万之间的，得2分； 3.承诺的资金先行垫付额度在500万（含）-1000万之间的，得1分； 4.低于500万或未承诺的不得分。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根据投标人本地化服务网络（分支机构、服务网点）情况打分（以提供的营业执照为准；有服务合作机构的，提供合作协议等证明材料）；依据《保险公司管理规定》，县区分支机构包括支公司或营业部或营销服务部）： 1.取得汉中市域内经营资格并设立市级分支机构，得2分。 2.投标人在汉中市各县区设有分支机构或服务网点服务本项目的，每个县区得0.3分，最高得3分。（服务合作机构，提供合作协议等证明材料）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专职服务队伍</w:t>
            </w:r>
          </w:p>
        </w:tc>
        <w:tc>
          <w:tcPr>
            <w:tcW w:type="dxa" w:w="2492"/>
          </w:tcPr>
          <w:p>
            <w:pPr>
              <w:pStyle w:val="null3"/>
            </w:pPr>
            <w:r>
              <w:rPr>
                <w:rFonts w:ascii="仿宋_GB2312" w:hAnsi="仿宋_GB2312" w:cs="仿宋_GB2312" w:eastAsia="仿宋_GB2312"/>
              </w:rPr>
              <w:t>1.投标人项目负责人具有从事医疗保险类项目工作经验得2分，如没有此项不得分。（注：须提供项目负责人的身份证、类似项目证明材料为合同或委托方出具的其它证明，其中应明确体现负责人姓名）。 2.承诺不得随意更换本项目的项目负责人。团队人员有变动的，投标人应及时增补提供综合素质同等或优于该人员的新成员，承诺内容齐全得2分，未承诺或承诺不齐全，不得分。 3.根据投标人或其省级分公司承诺派驻医保经办机构的专职队伍总人数打分：投标人拟投入人员不应少于27人，在27人基础上每增加3人得2分，此项满分4分。 4.拟投入人员中具备8名及以上医学类专业背景的得2.2分，满足人数要求基数上，其中入职3年以上的，每有1人，加0.1分，最高加0.8分，此项满分3分。 5.拟投入人员中具备财务、计算机、统计分析等相应专业背景的，有一位得0.3分，最高得3分，同一人只计一次分。 评审依据：提供相应人员的学历证或职称证复印件证明材料，及2024年任意连续三个月的由投标人或其省级分公司缴纳的社保证明材料，未提供不得分。 6.团队管理方案。投标人根据本项目招标需求提出切实可行的团队管理制度，包括但不限于①管理理念、②人员分工、③岗位职责、④工作对接流程、⑤绩效考核、⑥奖惩机制等，根据方案内容进行评分。注：管理方案要素完整、内容详细具体，能保证项目的顺利有序实施，每一项的0.5分，最高得3分；未提供管理方案，或提供的管理方案粗略、简单复制、不能达到本项目实际管理需求的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根据投标人针对本项目的总体服务方案进行评分，方案内容包括： 1.总体实施计划：对承办项目的整体思路、工作重点、阶段性工作安排；结合门诊慢特病全流程经办业务服务内容按工作环节进行梳理。 服务总体方案应涵盖①门诊慢特病患者的信息管理、②申请资料受理及组织鉴定、结果反馈和信息备案“一站式”、“一窗口”办结管理；③就医服务；④费用结算、支付管理；⑤监督管理：应有明确的定点监控体系，对门诊慢特病定点机构管理、巡查考核的方案，以及参保人员享受门诊慢特病待遇等稽核方案；⑥风险应急预案：包含但不限于风险预案、经办服务评价制度、咨询投诉件办理回复等；⑦培训宣传方案等全流程；⑧经办中心建设方案：包含但不限于办公场所、办公设备等硬件设施设备等情况。 评审标准:上述每项方案内容无缺陷得2分，满分为16分。方案内容每存在1处缺陷：扣1分，扣完为止。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牵头组织经办方案</w:t>
            </w:r>
          </w:p>
        </w:tc>
        <w:tc>
          <w:tcPr>
            <w:tcW w:type="dxa" w:w="2492"/>
          </w:tcPr>
          <w:p>
            <w:pPr>
              <w:pStyle w:val="null3"/>
            </w:pPr>
            <w:r>
              <w:rPr>
                <w:rFonts w:ascii="仿宋_GB2312" w:hAnsi="仿宋_GB2312" w:cs="仿宋_GB2312" w:eastAsia="仿宋_GB2312"/>
              </w:rPr>
              <w:t>根据投标人提供的牵头组织经办工作方案进行综合评审，牵头组建独立于商保机构之外的汉中市门诊慢特病经办服务中心和建立全市统一规范的门诊慢特病经办工作实施方案。方案内容包括：①组织机构；②任务划分；③人员整合；④岗位职责；⑤经办标准及经办流程；⑥网点设置；⑦宣传培训；⑧投标人认为后续可能遇到的需和包2中标方协调的各类问题。 评审标准:上述每项方案内容无缺陷得1分，满分为8分。方案内容每存在1处缺陷，扣1分，扣完为止。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信息系统</w:t>
            </w:r>
          </w:p>
        </w:tc>
        <w:tc>
          <w:tcPr>
            <w:tcW w:type="dxa" w:w="2492"/>
          </w:tcPr>
          <w:p>
            <w:pPr>
              <w:pStyle w:val="null3"/>
            </w:pPr>
            <w:r>
              <w:rPr>
                <w:rFonts w:ascii="仿宋_GB2312" w:hAnsi="仿宋_GB2312" w:cs="仿宋_GB2312" w:eastAsia="仿宋_GB2312"/>
              </w:rPr>
              <w:t>1.投标人开发使用的门诊慢特病管理信息系统建设方案，包括：①框架结构及业务流程设计；②手机终端开发应用；③申请受理；④组织鉴定复审流程；⑤备案登记；⑥定点机构管理（包括过程跟踪、智能监控管理）；⑦结算支付；⑧审核监管能力；⑨电子档案管理；⑩数据安全。（投标人须如实提供系统登录界面及相关功能截图,未提供不得分） 评审标准:上述每项方案内容无缺陷得1分，满分为10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 2.投标人或其总公司或省市级机构在省内其他地市承办门诊慢特病业务过程中开发应用门诊慢特病经办管理系统，得1分（投标人须如实提供系统登录界面及相关功能截图,未提供不得分）。 3.承诺：①在2025年4月中旬前，完成系统本地化改造和数据迁移工作的，确保在2025年4月20日起正常使用的；②提供 7×24 小时的技术支持服务，及时响应并解决系统运行过程中出现的问题，每项得1分，满分2分。未提供承诺书不得分。 4.结合实际针对开发应用的门诊慢特病经办管理系统存在的不足提出可行性的整改建议及技术支持和应急预案方案的，得1分，未提供不得分。 5.在建立以上功能的基础上，具备：①智能监管手段；②用药和购药管控；③药品追溯码运用；④药价异常监管预警等功能的证明，实现药品智能识别控制和基金管控。提供在其他地市已经建立上述系统的登录界面及相关功能截图，每实现一项得0.5分，最高得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财务管理制度方案</w:t>
            </w:r>
          </w:p>
        </w:tc>
        <w:tc>
          <w:tcPr>
            <w:tcW w:type="dxa" w:w="2492"/>
          </w:tcPr>
          <w:p>
            <w:pPr>
              <w:pStyle w:val="null3"/>
            </w:pPr>
            <w:r>
              <w:rPr>
                <w:rFonts w:ascii="仿宋_GB2312" w:hAnsi="仿宋_GB2312" w:cs="仿宋_GB2312" w:eastAsia="仿宋_GB2312"/>
              </w:rPr>
              <w:t>根据投标人针对本项目的财务管理制度方案，方案各部分内容全面详细、阐述条理清晰详尽、符合采购要求。方案内容包含①资金监管制度、专项基金管理制度；②专户存储；③单独核算；④专项使用；⑤全过程监控；⑥数据统计、基金运行分析。 评审标准:上述每项方案内容无缺陷得1分，满分为6分。方案内容每存在1处缺陷，扣0.5分，扣完为止。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1.建立完善的服务质量监控体系，明确服务质量考核指标和考核方式，得2分； 2.制定有效的服务质量改进措施，定期对服务质量进行评估和改进，得2分； 3.提供服务质量投诉处理机制，确保患者投诉能够得到及时、有效的处理，得1分。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服务创新及增值服务</w:t>
            </w:r>
          </w:p>
        </w:tc>
        <w:tc>
          <w:tcPr>
            <w:tcW w:type="dxa" w:w="2492"/>
          </w:tcPr>
          <w:p>
            <w:pPr>
              <w:pStyle w:val="null3"/>
            </w:pPr>
            <w:r>
              <w:rPr>
                <w:rFonts w:ascii="仿宋_GB2312" w:hAnsi="仿宋_GB2312" w:cs="仿宋_GB2312" w:eastAsia="仿宋_GB2312"/>
              </w:rPr>
              <w:t>投标人提出具有创新性的门诊慢特病经办管理理念或模式，能够有效提升门诊慢特病患者的就医体验和服务质量，门诊慢特病健康宣教提升参保患者满意度等。根据可行性和创新性，得3分。注：方案全面深入,详尽精准,思路科学合理具有实操性的，得3分；方案内容每存在1处缺陷：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满足招标文件要求且评审价格最低的投标报价费率为评标基准价，其价格分为满分。其他投标人的价格分统一按照下列公式计算：投标报价费率得分=（评标基准价/投标报价费率）× 价格分值 本项目非专门面向中小企业采购，投标人如果为小微企业、或监狱企业、或残疾人福利企业，则投标人的投标总报价扣除10%后参与评审。注意：本项目所属行业为“其他未列明行业”，请投标人依据“关于印发中小企业划型标准规定的通知(工信部联企业〔2011〕300号)”行业划分规模及标准，结合企业自身情况按需提供相关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本项目非专门面向中小企业采购，投标人如果为小微企业、或监狱企业、或残疾人福利企业，则投标人的投标总报价扣除10%后参与评审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风险综合评级</w:t>
            </w:r>
          </w:p>
        </w:tc>
        <w:tc>
          <w:tcPr>
            <w:tcW w:type="dxa" w:w="2492"/>
          </w:tcPr>
          <w:p>
            <w:pPr>
              <w:pStyle w:val="null3"/>
            </w:pPr>
            <w:r>
              <w:rPr>
                <w:rFonts w:ascii="仿宋_GB2312" w:hAnsi="仿宋_GB2312" w:cs="仿宋_GB2312" w:eastAsia="仿宋_GB2312"/>
              </w:rPr>
              <w:t>根据投标人提供的其总公司2022年第三季度至2024年第三季度共8个季度风险综合评级情况，按以下规则打分： ①风险综合评级为A的，得4分； ②风险综合评级为B的，得2分； ③风险综合评级为C及以下的，得0分； （根据《保险公司偿付能力监管规则第10号： 风险综合评级》）注：提供国家金融监督管理总局（原中国银行保险监督管理委员会）偿二代监管信息系统查询截图并加盖公章。未提供或提供不齐全的不得分。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综合偿付能力</w:t>
            </w:r>
          </w:p>
        </w:tc>
        <w:tc>
          <w:tcPr>
            <w:tcW w:type="dxa" w:w="2492"/>
          </w:tcPr>
          <w:p>
            <w:pPr>
              <w:pStyle w:val="null3"/>
            </w:pPr>
            <w:r>
              <w:rPr>
                <w:rFonts w:ascii="仿宋_GB2312" w:hAnsi="仿宋_GB2312" w:cs="仿宋_GB2312" w:eastAsia="仿宋_GB2312"/>
              </w:rPr>
              <w:t>根据投标人提供的其总公司2022及2023两个年度末综合偿付能力充足率情况，每一年度按规则评分，合计计算总分： 1.综合偿付能力充足率＜100%,得0分； 2.150%≤综合偿付能力充足率＜120%,得1分； 3.180%≤综合偿付能力充足率＜150%,得2分； 4.综合偿付能力充足率≥180%,得3分。 注：提供总公司经审计的2022-2023年度偿付能力报告复印件并加盖公章。未提供的本项得0分。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资金先行垫付能力</w:t>
            </w:r>
          </w:p>
        </w:tc>
        <w:tc>
          <w:tcPr>
            <w:tcW w:type="dxa" w:w="2492"/>
          </w:tcPr>
          <w:p>
            <w:pPr>
              <w:pStyle w:val="null3"/>
            </w:pPr>
            <w:r>
              <w:rPr>
                <w:rFonts w:ascii="仿宋_GB2312" w:hAnsi="仿宋_GB2312" w:cs="仿宋_GB2312" w:eastAsia="仿宋_GB2312"/>
              </w:rPr>
              <w:t>根据投标人承诺的资金先行垫付能力打分： 1.承诺的资金先行垫付额度超过1500万（含）的，得4分； 2.承诺的资金先行垫付额度在1000万（含）-1500万之间的，得2分； 3.承诺的资金先行垫付额度在500万（含）-1000万之间的，得1分； 4.低于500万或未承诺的不得分。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根据投标人本地化服务网络（分支机构、服务网点）情况打分（以提供的营业执照为准；有服务合作机构的，提供合作协议等证明材料）；依据《保险公司管理规定》，县区分支机构包括支公司或营业部或营销服务部）： 1.取得汉中市域内经营资格并设立市级分支机构，得2分。 2.投标人在汉中市各县区设有分支机构或服务网点服务本项目的，每个县区得0.3分，最高得3分。（服务合作机构，提供合作协议等证明材料）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专职服务队伍</w:t>
            </w:r>
          </w:p>
        </w:tc>
        <w:tc>
          <w:tcPr>
            <w:tcW w:type="dxa" w:w="2492"/>
          </w:tcPr>
          <w:p>
            <w:pPr>
              <w:pStyle w:val="null3"/>
            </w:pPr>
            <w:r>
              <w:rPr>
                <w:rFonts w:ascii="仿宋_GB2312" w:hAnsi="仿宋_GB2312" w:cs="仿宋_GB2312" w:eastAsia="仿宋_GB2312"/>
              </w:rPr>
              <w:t>1.投标人项目负责人具有从事医疗保险类项目工作经验得2分，如没有此项不得分。（注：须提供项目负责人的身份证、类似项目证明材料为合同或委托方出具的其它证明，其中应明确体现负责人姓名）。 2.承诺不得随意更换本项目的项目负责人。团队人员有变动的，投标人应及时增补提供综合素质同等或优于该人员的新成员，承诺内容齐全得2分，未承诺或承诺不齐全，不得分。 3.根据投标人或其省级分公司承诺派驻医保经办机构的专职队伍总人数打分：投标人拟投入人员不应少于18人，在18人基础上每增加3人得2分，此项满分4分。 4.拟投入人员中具备6名及以上医学类专业背景的得1.8分，满足人数要求基数上，其中入职3年以上的，每有1人，加0.2分，最高加1.2分，此项满分3分。 5.拟投入人员中具备财务、计算机、统计分析等相应专业背景的，有一位得0.3分，最高得3分，同一人只计一次分。 评审依据：提供相应人员的学历证或职称证复印件证明材料，及2024年任意连续三个月的由投标人或其省级分公司缴纳的社保证明材料，未提供不得分。 6.团队管理方案。投标人根据本项目招标需求提出切实可行的团队管理制度，包括但不限于①管理理念、②人员分工、③岗位职责、④工作对接流程、⑤绩效考核、⑥奖惩机制等，根据方案内容进行评分。注：管理方案要素完整、内容详细具体，能保证项目的顺利有序实施，每一项的0.5分，最高得3分；未提供管理方案，或提供的管理方案粗略、简单复制、不能达到本项目实际管理需求的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根据投标人针对本项目的总体服务方案进行评分，方案内容包括： 1.总体实施计划：对承办项目的整体思路、工作重点、阶段性工作安排；结合门诊慢特病全流程经办业务服务内容按工作环节进行梳理。 服务总体方案应涵盖①门诊慢特病患者的信息管理、②申请资料受理及组织鉴定、结果反馈和信息备案“一站式”、“一窗口”办结管理；③就医服务；④费用结算、支付管理；⑤监督管理：应有明确的定点监控体系，对门诊慢特病定点机构管理、巡查考核的方案，以及参保人员享受门诊慢特病待遇等稽核方案；⑥风险应急预案：包含但不限于风险预案、经办服务评价制度、咨询投诉件办理回复等；⑦培训宣传方案等全流程；⑧经办中心建设方案：包含但不限于办公场所、办公设备等硬件设施设备等情况。 评审标准:上述每项方案内容无缺陷得2分，满分为16分。方案内容每存在1处缺陷：扣1分，扣完为止。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配合经办方案</w:t>
            </w:r>
          </w:p>
        </w:tc>
        <w:tc>
          <w:tcPr>
            <w:tcW w:type="dxa" w:w="2492"/>
          </w:tcPr>
          <w:p>
            <w:pPr>
              <w:pStyle w:val="null3"/>
            </w:pPr>
            <w:r>
              <w:rPr>
                <w:rFonts w:ascii="仿宋_GB2312" w:hAnsi="仿宋_GB2312" w:cs="仿宋_GB2312" w:eastAsia="仿宋_GB2312"/>
              </w:rPr>
              <w:t>根据投标人提供的配合经办工作方案进行综合评审，包括配合组建汉中市门诊慢特病经办服务中心和建立全市统一规范的门诊慢特病经办工作实施方案。方案内容包括：①组织机构；②人员配置；③岗位职责；④配合包1设置经办标准及流程；⑤监督管理；⑥网点设置；⑦宣传培训；⑧投标人认为后续可能遇到的需和包1中标方协调的各类问题。 评审标准:上述每项方案内容无缺陷得1分，满分为8分。方案内容每存在1处缺陷，扣1分，扣完为止。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信息系统</w:t>
            </w:r>
          </w:p>
        </w:tc>
        <w:tc>
          <w:tcPr>
            <w:tcW w:type="dxa" w:w="2492"/>
          </w:tcPr>
          <w:p>
            <w:pPr>
              <w:pStyle w:val="null3"/>
            </w:pPr>
            <w:r>
              <w:rPr>
                <w:rFonts w:ascii="仿宋_GB2312" w:hAnsi="仿宋_GB2312" w:cs="仿宋_GB2312" w:eastAsia="仿宋_GB2312"/>
              </w:rPr>
              <w:t>1.积极配合包1做好门诊慢特病管理信息系统建设方案工作计划，承诺在2025年4月中旬前完成系统本地化改造和数据迁移工作。 评审标准:上述两项方案内容无缺陷各得2分，满分为4分。方案内容每存在1处缺陷：扣0.5分，扣完为止。 2.投标人或其总公司或省市级机构在省内其他地市承办门诊慢特病业务过程中开发应用门诊慢特病经办管理系统，得1分（投标人须如实提供系统登录界面及相关功能截图,未提供不得分）。 3.结合实际针对门诊慢特病经办管理系统提出可行的合理化建议、应急预案方案的，得2分，未提供不得分。 （评审内容中的缺陷是指:重点围绕如何配合做好信息系统运用进行阐述，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财务管理制度方案</w:t>
            </w:r>
          </w:p>
        </w:tc>
        <w:tc>
          <w:tcPr>
            <w:tcW w:type="dxa" w:w="2492"/>
          </w:tcPr>
          <w:p>
            <w:pPr>
              <w:pStyle w:val="null3"/>
            </w:pPr>
            <w:r>
              <w:rPr>
                <w:rFonts w:ascii="仿宋_GB2312" w:hAnsi="仿宋_GB2312" w:cs="仿宋_GB2312" w:eastAsia="仿宋_GB2312"/>
              </w:rPr>
              <w:t>根据投标人针对本项目的财务管理制度方案，方案各部分内容全面详细、阐述条理清晰详尽、符合采购要求。方案内容包含①资金监管制度、专项基金管理制度；②专户存储；③单独核算；④专项使用；⑤全过程监控；⑥数据统计、基金运行分析。 评审标准:上述每项方案内容无缺陷得1分，满分为6分。方案内容每存在1处缺陷，扣0.5分，扣完为止。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数据分析报表报告报送方案</w:t>
            </w:r>
          </w:p>
        </w:tc>
        <w:tc>
          <w:tcPr>
            <w:tcW w:type="dxa" w:w="2492"/>
          </w:tcPr>
          <w:p>
            <w:pPr>
              <w:pStyle w:val="null3"/>
            </w:pPr>
            <w:r>
              <w:rPr>
                <w:rFonts w:ascii="仿宋_GB2312" w:hAnsi="仿宋_GB2312" w:cs="仿宋_GB2312" w:eastAsia="仿宋_GB2312"/>
              </w:rPr>
              <w:t>投标人针对本项目的报表报告报送，包含①及时报送制度；②报送时限承诺。 评审标准:承诺按中省市医保部门待遇清单规定时限要求及时完成审核、数据汇总和报送，根据实际编写运行分析报告并及时报送，上述每项方案内容无缺陷得2分，满分为4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1.建立完善的经办服务质量监控体系，明确服务质量考核指标和考核方式，得2分； 2.制定有效的经办服务质量改进措施，定期对服务质量进行评估和改进，得2分； 3.提供经办服务质量投诉处理机制，确保患者投诉能够得到及时、有效的处理，得2分。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服务创新及增值服务</w:t>
            </w:r>
          </w:p>
        </w:tc>
        <w:tc>
          <w:tcPr>
            <w:tcW w:type="dxa" w:w="2492"/>
          </w:tcPr>
          <w:p>
            <w:pPr>
              <w:pStyle w:val="null3"/>
            </w:pPr>
            <w:r>
              <w:rPr>
                <w:rFonts w:ascii="仿宋_GB2312" w:hAnsi="仿宋_GB2312" w:cs="仿宋_GB2312" w:eastAsia="仿宋_GB2312"/>
              </w:rPr>
              <w:t>1.提出具有创新性的服务理念或服务模式，能够有效提升门诊慢特病患者的就医体验和服务质量，根据可行性和创新性，得3分。注：方案全面深入,详尽精准,思路科学合理具有实操性的，得3分；方案内容每存在1处缺陷：扣1分，扣完为止； 2.提供增值服务内容，如健康管理服务、患者教育活动等，每提供一项得1分，满分2分 3.围绕经办和基金监管配合医保部门工作：医保药品追溯码运用、监管手段运用等，每提供一项得1分，满分得2分。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满足招标文件要求且评审价格最低的投标报价费率为评标基准价，其价格分为满分。其他投标人的价格分统一按照下列公式计算：投标报价费率得分=（评标基准价/投标报价费率）× 价格分值 本项目非专门面向中小企业采购，投标人如果为小微企业、或监狱企业、或残疾人福利企业，则投标人的投标总报价扣除10%后参与评审。注意：本项目所属行业为“其他未列明行业”，请投标人依据“关于印发中小企业划型标准规定的通知(工信部联企业〔2011〕300号)”行业划分规模及标准，结合企业自身情况按需提供相关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本项目非专门面向中小企业采购，投标人如果为小微企业、或监狱企业、或残疾人福利企业，则投标人的投标总报价扣除10%后参与评审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