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版本号：ZJXHZ-ZBDL-2025-01020250330003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略阳至康县（陕甘界）高速公路项目跨越嘉陵江航道通航条件影响评价报告编制及协助审批技术服务采购项目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ZJXHZ-ZBDL-2025-010</w:t>
      </w:r>
      <w:r>
        <w:br/>
      </w:r>
      <w:r>
        <w:br/>
      </w:r>
      <w:r>
        <w:br/>
      </w:r>
    </w:p>
    <w:p>
      <w:pPr>
        <w:pStyle w:val="null3"/>
        <w:jc w:val="center"/>
        <w:outlineLvl w:val="2"/>
      </w:pPr>
      <w:r>
        <w:rPr>
          <w:rFonts w:ascii="仿宋_GB2312" w:hAnsi="仿宋_GB2312" w:cs="仿宋_GB2312" w:eastAsia="仿宋_GB2312"/>
          <w:sz w:val="28"/>
          <w:b/>
        </w:rPr>
        <w:t>汉中市交通运输局</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汉中市交通运输局</w:t>
      </w:r>
      <w:r>
        <w:rPr>
          <w:rFonts w:ascii="仿宋_GB2312" w:hAnsi="仿宋_GB2312" w:cs="仿宋_GB2312" w:eastAsia="仿宋_GB2312"/>
        </w:rPr>
        <w:t>委托，拟对</w:t>
      </w:r>
      <w:r>
        <w:rPr>
          <w:rFonts w:ascii="仿宋_GB2312" w:hAnsi="仿宋_GB2312" w:cs="仿宋_GB2312" w:eastAsia="仿宋_GB2312"/>
        </w:rPr>
        <w:t>略阳至康县（陕甘界）高速公路项目跨越嘉陵江航道通航条件影响评价报告编制及协助审批技术服务采购项目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ZJXHZ-ZBDL-2025-010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略阳至康县（陕甘界）高速公路项目跨越嘉陵江航道通航条件影响评价报告编制及协助审批技术服务采购项目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略阳至康县（陕甘界）高速公路项目（以下简称“略康高速”或“项目”、“本项目”）属《陕西省“十四五”综合交通运输发展 规划》（陕政办发〔2021〕30号）省级高速公路，是《陕西省综合立体交通网规划纲要》（陕发〔2024〕6号）规划的全省 31条高速公路联络线之一。项目位于略阳县吴家营村设枢纽互通与G7011十天高速相接，向西南经横现河镇、金家河镇，终点位于郭镇接甘肃省在建的康略高速，全长约42公里，拟采用设计速度100公里/小时、路基宽26米，双向四车道高速公路标准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等国家规定的相关证明，自然人参与的提供其身份证明；：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原件（法定代表人直接参加磋商响应只须提供法定代表人身份证原件）；：法定代表人授权书原件及被授权人身份证原件（法定代表人直接参加磋商响应只须提供法定代表人身份证原件）；</w:t>
      </w:r>
    </w:p>
    <w:p>
      <w:pPr>
        <w:pStyle w:val="null3"/>
      </w:pPr>
      <w:r>
        <w:rPr>
          <w:rFonts w:ascii="仿宋_GB2312" w:hAnsi="仿宋_GB2312" w:cs="仿宋_GB2312" w:eastAsia="仿宋_GB2312"/>
        </w:rPr>
        <w:t>3、供应商须具备工程设计综合资质或工程设计水运行业专业乙级或工程设计水运行业（港口工程）专业乙级及以上资质，并在人员、设备、资金等方面具备相应的能力；：供应商须具备工程设计综合资质或工程设计水运行业专业乙级或工程设计水运行业（港口工程）专业乙级及以上资质，并在人员、设备、资金等方面具备相应的能力；</w:t>
      </w:r>
    </w:p>
    <w:p>
      <w:pPr>
        <w:pStyle w:val="null3"/>
      </w:pPr>
      <w:r>
        <w:rPr>
          <w:rFonts w:ascii="仿宋_GB2312" w:hAnsi="仿宋_GB2312" w:cs="仿宋_GB2312" w:eastAsia="仿宋_GB2312"/>
        </w:rPr>
        <w:t>4、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汉中市东一环路东段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0916- 262 0169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开户银行：工商银行汉中劳动西路支行</w:t>
            </w:r>
          </w:p>
          <w:p>
            <w:pPr>
              <w:pStyle w:val="null3"/>
            </w:pPr>
            <w:r>
              <w:rPr>
                <w:rFonts w:ascii="仿宋_GB2312" w:hAnsi="仿宋_GB2312" w:cs="仿宋_GB2312" w:eastAsia="仿宋_GB2312"/>
              </w:rPr>
              <w:t>银行账号：2606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本采购包履约保证金为合同金额的2.0%</w:t>
            </w:r>
          </w:p>
          <w:p>
            <w:pPr>
              <w:pStyle w:val="null3"/>
            </w:pPr>
            <w:r>
              <w:rPr>
                <w:rFonts w:ascii="仿宋_GB2312" w:hAnsi="仿宋_GB2312" w:cs="仿宋_GB2312" w:eastAsia="仿宋_GB2312"/>
              </w:rPr>
              <w:t>说明：保证金须以银行转账或者金融机构、担保机构出具的保函等非现金形式。银行转账可以采取支票、电汇、网银、汇票、本票等方式，均应从基本账户转出。 供应商须在投标文件递交截止时间前1天，凭银行转账凭证或者金融机构、担保机构出具的保函，到招标代理换取保证金收据。供应商在递交投标文件时，不能出具招标组织机构开出的收款收据的，其投标文件将被拒绝接收。 注：“XXX采购项目投标保证金”。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供应商向采购代理机构支付采购代理服务费，采购代理服务费按优惠后成交价的1.43%计取。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汉中市交通运输局</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跨越嘉陵江航道通航条件影响评价报告编制完成，并协助采购人完成相关部门审批工作，顺利拿到批复文件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至康县（陕甘界）高速公路项目（以下简称“略康高速”或“项目”、“本项目”）属《陕西省“十四五”综合交通运输发展规划》（陕政办发〔2021〕30号）省级高速公路，是《陕西省综合立体交通网规划纲要》（陕发〔2024〕6号）规划的全省31条高速公路联络线之一。项目起点位于略阳县吴家营村设枢纽互通与G7011十天高速相接，向西南经横现河镇、金家河镇，终点位于郭镇接甘肃省在建的康略高速，全长约42公里，拟采用设计速度100公里/小时、路基宽26米，双向四车道高速公路标准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航道通航条件评价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标的名称：航道通航条件评价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跨越嘉陵江航道通航条件影响评价报告编制</w:t>
            </w:r>
          </w:p>
        </w:tc>
        <w:tc>
          <w:tcPr>
            <w:tcW w:type="dxa" w:w="2076"/>
          </w:tcPr>
          <w:p>
            <w:pPr>
              <w:pStyle w:val="null3"/>
            </w:pPr>
            <w:r>
              <w:rPr>
                <w:rFonts w:ascii="仿宋_GB2312" w:hAnsi="仿宋_GB2312" w:cs="仿宋_GB2312" w:eastAsia="仿宋_GB2312"/>
              </w:rPr>
              <w:t>服务期限：50日历天；</w:t>
            </w:r>
          </w:p>
          <w:p>
            <w:pPr>
              <w:pStyle w:val="null3"/>
            </w:pPr>
            <w:r>
              <w:rPr>
                <w:rFonts w:ascii="仿宋_GB2312" w:hAnsi="仿宋_GB2312" w:cs="仿宋_GB2312" w:eastAsia="仿宋_GB2312"/>
              </w:rPr>
              <w:t>质量要求：满足国家相关法律法规及行业要求 ；</w:t>
            </w:r>
          </w:p>
          <w:p>
            <w:pPr>
              <w:pStyle w:val="null3"/>
            </w:pPr>
            <w:r>
              <w:rPr>
                <w:rFonts w:ascii="仿宋_GB2312" w:hAnsi="仿宋_GB2312" w:cs="仿宋_GB2312" w:eastAsia="仿宋_GB2312"/>
              </w:rPr>
              <w:t>成果目标：对跨越嘉陵江航道通航条件影响评价报告编制完成，并协助采购人完成相关部门审批工作，顺利拿到批复文件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为保证本项目的顺利实施，响应供应商应满足国家相关法律法规要求，须保证所涉及本项目设备设施来源渠道合法，配置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略阳至康县（陕甘界）嘉陵江航道</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跨越嘉陵江航道通航条件影响评价报告编制完成，并协助采购人完成相关部门审批工作，顺利拿到批复文件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技术服务项目不设预付款，待《略阳至康县（陕甘界）高速公路项目跨越嘉陵江航道通航条件影响评价报告》取得交通运输厅(局)同意，甲方进行工程建设的相应批文，乙方向甲方提交通过评审的完整材料8套(含电子光盘1张），并提供发票后 30 日内一次性付清技术服务报酬。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磋商响应文件封面.docx 资格证明文件.docx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供应商须具有健全的财务会计制度、履行合同所需的设备和专业技术能力、 依法缴纳税收和社会保障资金，以及参加采购活动前 3 年内经营活动无重大违 法活动记录，供应商须提供《汉中市政府采购供应商资格承诺函》并签字盖章；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磋商响应文件封面.docx 资格证明文件.docx 供应商认为有必要补充说明的事项.docx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法定代表人授权书原件及被授权人身份证原件（法定代表人直接参加磋商响应只须提供法定代表人身份证原件）；</w:t>
            </w:r>
          </w:p>
        </w:tc>
        <w:tc>
          <w:tcPr>
            <w:tcW w:type="dxa" w:w="3322"/>
          </w:tcPr>
          <w:p>
            <w:pPr>
              <w:pStyle w:val="null3"/>
            </w:pPr>
            <w:r>
              <w:rPr>
                <w:rFonts w:ascii="仿宋_GB2312" w:hAnsi="仿宋_GB2312" w:cs="仿宋_GB2312" w:eastAsia="仿宋_GB2312"/>
              </w:rPr>
              <w:t>法定代表人授权书原件及被授权人身份证原件（法定代表人直接参加磋商响应只须提供法定代表人身份证原件）；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供应商须具备工程设计综合资质或工程设计水运行业专业乙级或工程设计水运行业（港口工程）专业乙级及以上资质，并在人员、设备、资金等方面具备相应的能力；</w:t>
            </w:r>
          </w:p>
        </w:tc>
        <w:tc>
          <w:tcPr>
            <w:tcW w:type="dxa" w:w="3322"/>
          </w:tcPr>
          <w:p>
            <w:pPr>
              <w:pStyle w:val="null3"/>
            </w:pPr>
            <w:r>
              <w:rPr>
                <w:rFonts w:ascii="仿宋_GB2312" w:hAnsi="仿宋_GB2312" w:cs="仿宋_GB2312" w:eastAsia="仿宋_GB2312"/>
              </w:rPr>
              <w:t>供应商须具备工程设计综合资质或工程设计水运行业专业乙级或工程设计水运行业（港口工程）专业乙级及以上资质，并在人员、设备、资金等方面具备相应的能力；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投标文件的的签字、盖章是否有效，编写格式符合招标文件要求；响应内容是否有重大缺漏项；投标有效期是否满足要求；投标文件符合法律、法规和招标文件中规定的其他实质性要求；招标文件中规定的双方的权利和义务是否做出了实质性响应；投标保证金收据是否符合招标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磋商响应文件封面.docx 资格证明文件.docx 供应商认为有必要补充说明的事项.docx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通航评价方案对本项目任务要求的理解深度，以及对国家相关领域政策、标准的掌握程度。根据方案的合理性、适宜性、内容完整性以及针对性等情况进行综合评分：①项目实施的依据、执行的标准（规范、规程）适用准确，方案阐述明确具体，切实可行，根据响应程度计0-11分；②通航评价方案（至少包含资料收集、调查分析等方面）先进，且有明确具体的操作规程、标准及方法，根据响应程度计0-11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技术标准</w:t>
            </w:r>
          </w:p>
        </w:tc>
        <w:tc>
          <w:tcPr>
            <w:tcW w:type="dxa" w:w="2492"/>
          </w:tcPr>
          <w:p>
            <w:pPr>
              <w:pStyle w:val="null3"/>
            </w:pPr>
            <w:r>
              <w:rPr>
                <w:rFonts w:ascii="仿宋_GB2312" w:hAnsi="仿宋_GB2312" w:cs="仿宋_GB2312" w:eastAsia="仿宋_GB2312"/>
              </w:rPr>
              <w:t>根据本项目实际特点，合理应用技术标准，项目实施应科学、全面，主要包括前期准备、外业调查、内业处理、成果提交等内容是否有创新技术，根据响应程度计0-9分；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供应商对本项目重难点的分析，以及相应的航道通航情况调查和措施，根据响应程度计0-7分；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为保证项目质量采取的有效措施，供应商应提供质量检查方案，包括保证项目质量的机构、方法、措施等，根据响应程度计0-8分；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进度时间安排满足项目需要，有详细的进度计划表或示意图，应提供项目进度方案，包括保证工期的方法、措施等，根据响应程度计0-8分；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供应商提供2022年1月以来（以合同签订时间为准）的类似航评项目业绩，每提供一个业绩得2分，最多得6分。（提供合同或中标通知书复印件）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售后服务机构，针对本项目设立专门的技术服务团队，并提供了人员名单，团队人员专业性强或具备类似项目经验，且配备合理，职责分工明确，专业性强人员素质高，服务优良，满足项目需求，视响应情况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服务组织实施方案，服务机构健全，提供服务标准公约，配备专职服务人员，项目组人员提供的各项服务承诺情况，根据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应急预案和 处置措施</w:t>
            </w:r>
          </w:p>
        </w:tc>
        <w:tc>
          <w:tcPr>
            <w:tcW w:type="dxa" w:w="2492"/>
          </w:tcPr>
          <w:p>
            <w:pPr>
              <w:pStyle w:val="null3"/>
            </w:pPr>
            <w:r>
              <w:rPr>
                <w:rFonts w:ascii="仿宋_GB2312" w:hAnsi="仿宋_GB2312" w:cs="仿宋_GB2312" w:eastAsia="仿宋_GB2312"/>
              </w:rPr>
              <w:t>根据供应商制定的各类特殊情况下的应急预案及处置措施方案，根据响应程度计0-7分；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详见附件：磋商响应文件封面.docx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