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版本号：JDL-20250120250421001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汉中市2025年度朱鹮等野生动物救护宣传片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JDL-202501</w:t>
      </w:r>
      <w:r>
        <w:br/>
      </w:r>
      <w:r>
        <w:br/>
      </w:r>
      <w:r>
        <w:br/>
      </w:r>
    </w:p>
    <w:p>
      <w:pPr>
        <w:pStyle w:val="null3"/>
        <w:jc w:val="center"/>
        <w:outlineLvl w:val="2"/>
      </w:pPr>
      <w:r>
        <w:rPr>
          <w:rFonts w:ascii="仿宋_GB2312" w:hAnsi="仿宋_GB2312" w:cs="仿宋_GB2312" w:eastAsia="仿宋_GB2312"/>
          <w:sz w:val="28"/>
          <w:b/>
        </w:rPr>
        <w:t>汉中市野生动植物保护管理站</w:t>
      </w:r>
    </w:p>
    <w:p>
      <w:pPr>
        <w:pStyle w:val="null3"/>
        <w:jc w:val="center"/>
        <w:outlineLvl w:val="2"/>
      </w:pPr>
      <w:r>
        <w:rPr>
          <w:rFonts w:ascii="仿宋_GB2312" w:hAnsi="仿宋_GB2312" w:cs="仿宋_GB2312" w:eastAsia="仿宋_GB2312"/>
          <w:sz w:val="28"/>
          <w:b/>
        </w:rPr>
        <w:t>陕西嘉鸿桐项目管理有限公司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陕西嘉鸿桐项目管理有限公司</w:t>
      </w:r>
      <w:r>
        <w:rPr>
          <w:rFonts w:ascii="仿宋_GB2312" w:hAnsi="仿宋_GB2312" w:cs="仿宋_GB2312" w:eastAsia="仿宋_GB2312"/>
        </w:rPr>
        <w:t>（以下简称“代理机构”）受</w:t>
      </w:r>
      <w:r>
        <w:rPr>
          <w:rFonts w:ascii="仿宋_GB2312" w:hAnsi="仿宋_GB2312" w:cs="仿宋_GB2312" w:eastAsia="仿宋_GB2312"/>
        </w:rPr>
        <w:t>汉中市野生动植物保护管理站</w:t>
      </w:r>
      <w:r>
        <w:rPr>
          <w:rFonts w:ascii="仿宋_GB2312" w:hAnsi="仿宋_GB2312" w:cs="仿宋_GB2312" w:eastAsia="仿宋_GB2312"/>
        </w:rPr>
        <w:t>委托，拟对</w:t>
      </w:r>
      <w:r>
        <w:rPr>
          <w:rFonts w:ascii="仿宋_GB2312" w:hAnsi="仿宋_GB2312" w:cs="仿宋_GB2312" w:eastAsia="仿宋_GB2312"/>
        </w:rPr>
        <w:t>汉中市2025年度朱鹮等野生动物救护宣传片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JDL-202501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汉中市2025年度朱鹮等野生动物救护宣传片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通过政府采购在汉中境内拍摄朱鹮等野生动植物摄影照片、视频素材；组织相关专业人员赴朱鹮等野生动植物集中分布地，拍摄觅食、繁殖等方面的视频资料；制作编辑形成一部朱鹮生存状态的专题片约20分钟, 并精剪一部展现朱鹮及汉中生态的宣传片约6分钟。制作视频总时长约26至28分钟的以朱鹮为主的汉中珍稀野生动植物宣传片。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采购包1（汉中市2025年度朱鹮等野生动物救护宣传片）：属于专门面向中小企业采购。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1、统一社会信用代码营业执照或事业单位法人证书：供应商具有独立承担民事责任能力的法人、其他组织或自然人，提 供合法有效的统一社会信用代码营业执照或事业单位法人证书（自然人应提供身份证明）：供应商必须提供上述证明资料或承诺函。</w:t>
      </w:r>
    </w:p>
    <w:p>
      <w:pPr>
        <w:pStyle w:val="null3"/>
      </w:pPr>
      <w:r>
        <w:rPr>
          <w:rFonts w:ascii="仿宋_GB2312" w:hAnsi="仿宋_GB2312" w:cs="仿宋_GB2312" w:eastAsia="仿宋_GB2312"/>
        </w:rPr>
        <w:t>2、法定代表人授权：供应商应授权合法的人员参加投标全过程，其中法定代表人直接参加投标的，须出具法人身份证， 法定代表人授权代表参加投标的，须出具法定代表人授权书及授权代表身份证；：供应商应授权合法的人员参加投标全过程，其中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3、财务会计制度、依法缴纳税收和社会保障资金的良好记录及参加本项目采购活动前三年内在经营活动中无重大违法活 动记录： 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4、投标保证金：保证金缴纳凭证复印件和采购代理机构开具的收款收据；</w:t>
      </w:r>
    </w:p>
    <w:p>
      <w:pPr>
        <w:pStyle w:val="null3"/>
      </w:pPr>
      <w:r>
        <w:rPr>
          <w:rFonts w:ascii="仿宋_GB2312" w:hAnsi="仿宋_GB2312" w:cs="仿宋_GB2312" w:eastAsia="仿宋_GB2312"/>
        </w:rPr>
        <w:t>5、关联关系：本项目不接受联合体投标，单位负责人为同一人或者存在控股、管理关系的不同单位不得同时参加需提供书面声明；</w:t>
      </w:r>
    </w:p>
    <w:p>
      <w:pPr>
        <w:pStyle w:val="null3"/>
      </w:pPr>
      <w:r>
        <w:rPr>
          <w:rFonts w:ascii="仿宋_GB2312" w:hAnsi="仿宋_GB2312" w:cs="仿宋_GB2312" w:eastAsia="仿宋_GB2312"/>
        </w:rPr>
        <w:t>6、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汉中市野生动植物保护管理站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汉中市民主街43号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13992675222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陕西嘉鸿桐项目管理有限公司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汉中市汉台区中山街街道南关正街246号301室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0916-8887768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开户名称：陕西嘉鸿桐项目管理有限公司</w:t>
            </w:r>
          </w:p>
          <w:p>
            <w:pPr>
              <w:pStyle w:val="null3"/>
            </w:pPr>
            <w:r>
              <w:rPr>
                <w:rFonts w:ascii="仿宋_GB2312" w:hAnsi="仿宋_GB2312" w:cs="仿宋_GB2312" w:eastAsia="仿宋_GB2312"/>
              </w:rPr>
              <w:t>开户银行：中国工商银行股份有限公司汉中天台路支行。（供应商在缴纳完磋商保证金后，须持授权委托书，转账凭证或保函至本项目招标代理公司财务处，经核实后，由代理公司开具保证金收款收据，具体地址与联系方式详见磋商公告）</w:t>
            </w:r>
          </w:p>
          <w:p>
            <w:pPr>
              <w:pStyle w:val="null3"/>
            </w:pPr>
            <w:r>
              <w:rPr>
                <w:rFonts w:ascii="仿宋_GB2312" w:hAnsi="仿宋_GB2312" w:cs="仿宋_GB2312" w:eastAsia="仿宋_GB2312"/>
              </w:rPr>
              <w:t>银行账号：2606053809000097093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代理服务费收费标准：参照计价格【2011】534号文件以及【计价格[2002]1980号】招标代理服务收费标准计取。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汉中市野生动植物保护管理站</w:t>
      </w:r>
      <w:r>
        <w:rPr>
          <w:rFonts w:ascii="仿宋_GB2312" w:hAnsi="仿宋_GB2312" w:cs="仿宋_GB2312" w:eastAsia="仿宋_GB2312"/>
        </w:rPr>
        <w:t>和</w:t>
      </w:r>
      <w:r>
        <w:rPr>
          <w:rFonts w:ascii="仿宋_GB2312" w:hAnsi="仿宋_GB2312" w:cs="仿宋_GB2312" w:eastAsia="仿宋_GB2312"/>
        </w:rPr>
        <w:t>陕西嘉鸿桐项目管理有限公司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汉中市野生动植物保护管理站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陕西嘉鸿桐项目管理有限公司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汉中市野生动植物保护管理站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陕西嘉鸿桐项目管理有限公司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按照合同要求的视频拍摄内容和相关数据规格要求验收。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陕西嘉鸿桐项目管理有限公司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联系电话：0916-8887768</w:t>
      </w:r>
    </w:p>
    <w:p>
      <w:pPr>
        <w:pStyle w:val="null3"/>
      </w:pPr>
      <w:r>
        <w:rPr>
          <w:rFonts w:ascii="仿宋_GB2312" w:hAnsi="仿宋_GB2312" w:cs="仿宋_GB2312" w:eastAsia="仿宋_GB2312"/>
        </w:rPr>
        <w:t>地址：汉中市汉台区中山街街道南关正街246号301室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通过政府采购在汉中境内拍摄朱鹮等野生动植物摄影照片、视频素材；组织相关专业人员赴朱鹮等野生动植物集中分布地，拍摄觅食、繁殖等方面的视频资料；制作编辑形成一部朱鹮生存状态的专题片约</w:t>
      </w:r>
      <w:r>
        <w:rPr>
          <w:rFonts w:ascii="仿宋_GB2312" w:hAnsi="仿宋_GB2312" w:cs="仿宋_GB2312" w:eastAsia="仿宋_GB2312"/>
          <w:sz w:val="21"/>
        </w:rPr>
        <w:t>20</w:t>
      </w:r>
      <w:r>
        <w:rPr>
          <w:rFonts w:ascii="仿宋_GB2312" w:hAnsi="仿宋_GB2312" w:cs="仿宋_GB2312" w:eastAsia="仿宋_GB2312"/>
          <w:sz w:val="21"/>
        </w:rPr>
        <w:t>分钟</w:t>
      </w:r>
      <w:r>
        <w:rPr>
          <w:rFonts w:ascii="仿宋_GB2312" w:hAnsi="仿宋_GB2312" w:cs="仿宋_GB2312" w:eastAsia="仿宋_GB2312"/>
          <w:sz w:val="21"/>
        </w:rPr>
        <w:t xml:space="preserve">, </w:t>
      </w:r>
      <w:r>
        <w:rPr>
          <w:rFonts w:ascii="仿宋_GB2312" w:hAnsi="仿宋_GB2312" w:cs="仿宋_GB2312" w:eastAsia="仿宋_GB2312"/>
          <w:sz w:val="21"/>
        </w:rPr>
        <w:t>并精剪一部展现朱鹮及汉中生态的宣传片约</w:t>
      </w:r>
      <w:r>
        <w:rPr>
          <w:rFonts w:ascii="仿宋_GB2312" w:hAnsi="仿宋_GB2312" w:cs="仿宋_GB2312" w:eastAsia="仿宋_GB2312"/>
          <w:sz w:val="21"/>
        </w:rPr>
        <w:t>6</w:t>
      </w:r>
      <w:r>
        <w:rPr>
          <w:rFonts w:ascii="仿宋_GB2312" w:hAnsi="仿宋_GB2312" w:cs="仿宋_GB2312" w:eastAsia="仿宋_GB2312"/>
          <w:sz w:val="21"/>
        </w:rPr>
        <w:t>分钟。制作视频总时长约</w:t>
      </w:r>
      <w:r>
        <w:rPr>
          <w:rFonts w:ascii="仿宋_GB2312" w:hAnsi="仿宋_GB2312" w:cs="仿宋_GB2312" w:eastAsia="仿宋_GB2312"/>
          <w:sz w:val="21"/>
        </w:rPr>
        <w:t>26至28</w:t>
      </w:r>
      <w:r>
        <w:rPr>
          <w:rFonts w:ascii="仿宋_GB2312" w:hAnsi="仿宋_GB2312" w:cs="仿宋_GB2312" w:eastAsia="仿宋_GB2312"/>
          <w:sz w:val="21"/>
        </w:rPr>
        <w:t>分钟的以朱鹮为主的汉中珍稀野生动植物宣传片。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标的名称：一项</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视频分辨率、技术规格和视频语言讲解及英文和日文字幕</w:t>
            </w:r>
          </w:p>
        </w:tc>
        <w:tc>
          <w:tcPr>
            <w:tcW w:type="dxa" w:w="2076"/>
          </w:tcPr>
          <w:p>
            <w:pPr>
              <w:pStyle w:val="null3"/>
            </w:pPr>
            <w:r>
              <w:rPr>
                <w:rFonts w:ascii="仿宋_GB2312" w:hAnsi="仿宋_GB2312" w:cs="仿宋_GB2312" w:eastAsia="仿宋_GB2312"/>
              </w:rPr>
              <w:t>1、视频分辨率达到2K（2048*1080）;</w:t>
            </w:r>
          </w:p>
          <w:p>
            <w:pPr>
              <w:pStyle w:val="null3"/>
            </w:pPr>
            <w:r>
              <w:rPr>
                <w:rFonts w:ascii="仿宋_GB2312" w:hAnsi="仿宋_GB2312" w:cs="仿宋_GB2312" w:eastAsia="仿宋_GB2312"/>
              </w:rPr>
              <w:t xml:space="preserve">2、技术规格为投影12m*2.47;       </w:t>
            </w:r>
          </w:p>
          <w:p>
            <w:pPr>
              <w:pStyle w:val="null3"/>
            </w:pPr>
            <w:r>
              <w:rPr>
                <w:rFonts w:ascii="仿宋_GB2312" w:hAnsi="仿宋_GB2312" w:cs="仿宋_GB2312" w:eastAsia="仿宋_GB2312"/>
              </w:rPr>
              <w:t>3、视频为中文讲解、配英文和日文字幕翻译。</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视频制作需备2个高质量品牌大内存U盘存储视频拍摄内容。</w:t>
            </w:r>
          </w:p>
        </w:tc>
        <w:tc>
          <w:tcPr>
            <w:tcW w:type="dxa" w:w="2076"/>
          </w:tcPr>
          <w:p>
            <w:pPr>
              <w:pStyle w:val="null3"/>
            </w:pPr>
            <w:r>
              <w:rPr>
                <w:rFonts w:ascii="仿宋_GB2312" w:hAnsi="仿宋_GB2312" w:cs="仿宋_GB2312" w:eastAsia="仿宋_GB2312"/>
              </w:rPr>
              <w:t>制作2个品牌移动品牌存储视频内容；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供应商自行安排</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供应商自行安排</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本视频项目拍摄内容为：1.宣传片时长约6分钟；2.专题片时长约20分钟。</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自签订合同之日至2025年6月10日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汉中市野生动植物保护管理站319办公室</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达到甲方要求并完成拍摄内容，请相关专家验收。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全部完成拍摄宣传内容并交付汉中市野生动植物保护管理站后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甲方与乙方签订合同之日起甲方应在合同约定之内及时支付首付费用，乙方在收到甲方首付款后应严格按照合同时间和技术参数要求及时拍摄和制作完成视频内容.如有争议，通过本地法院处理。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须提供磋商保证金收据原件，并在响应文件中提供收据复印件</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统一社会信用代码营业执照或事业单位法人证书：供应商具有独立承担民事责任能力的法人、其他组织或自然人，提 供合法有效的统一社会信用代码营业执照或事业单位法人证书（自然人应提供身份证明）</w:t>
            </w:r>
          </w:p>
        </w:tc>
        <w:tc>
          <w:tcPr>
            <w:tcW w:type="dxa" w:w="3322"/>
          </w:tcPr>
          <w:p>
            <w:pPr>
              <w:pStyle w:val="null3"/>
            </w:pPr>
            <w:r>
              <w:rPr>
                <w:rFonts w:ascii="仿宋_GB2312" w:hAnsi="仿宋_GB2312" w:cs="仿宋_GB2312" w:eastAsia="仿宋_GB2312"/>
              </w:rPr>
              <w:t>供应商必须提供上述证明资料或承诺函。</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法定代表人授权：供应商应授权合法的人员参加投标全过程，其中法定代表人直接参加投标的，须出具法人身份证， 法定代表人授权代表参加投标的，须出具法定代表人授权书及授权代表身份证；</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财务会计制度、依法缴纳税收和社会保障资金的良好记录及参加本项目采购活动前三年内在经营活动中无重大违法活 动记录： 供应商须具有健全的财务会计制度、具有履行合同所必需的设备和专业技术能力、具有依法缴纳税收和社会保障资金的良好记录，以及参加本项目采购活动前三年内在经营活动中无重大违法活动记录。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保证金缴纳凭证复印件和采购代理机构开具的收款收据；</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1.供应商响应文件按照规定的格式和内容填写，供应商法定代表人或其法定代表人被授权委托代理的印鉴齐全，符合竞争性磋商文件的规定； 2.供应商按照竞争性磋商文件规定的格式、投标有效期、内容和要求提供了磋商保证金； 3.供应商响应文件首次报价符合竞争性磋商文件的要求； 4.供应商响应文件载明的采购项目名称、交货期及质保期符合竞争性磋商文件要求； 5.供应商响应文件未附有违背法律法规和政府规章规定的其他条件； 6.供应商响应文件符合竞争性磋商文件中规定的其他实质性要求；</w:t>
            </w:r>
          </w:p>
        </w:tc>
        <w:tc>
          <w:tcPr>
            <w:tcW w:type="dxa" w:w="1661"/>
          </w:tcPr>
          <w:p>
            <w:pPr>
              <w:pStyle w:val="null3"/>
            </w:pPr>
            <w:r>
              <w:rPr>
                <w:rFonts w:ascii="仿宋_GB2312" w:hAnsi="仿宋_GB2312" w:cs="仿宋_GB2312" w:eastAsia="仿宋_GB2312"/>
              </w:rPr>
              <w:t>响应文件封面 磋商保证金.docx 服务内容及服务邀请应答表 中小企业声明函 商务应答表 服务方案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宣传片及专题片策划方案内容完整、清晰，能全面体现汉中境内朱鹮生存现状及汉中地区生态变化等内容的完整性，得[18-25]分； 宣传片及专题片策划方案内容较清晰，较能体现汉中境内朱鹮生存现状及汉中地区生态变化等内容的完整性，得[11-17]分； 宣传片及专题片策划方案内容不清晰，不能体现汉中境内朱鹮生存现状及汉中地区生态变化等内容的完整性，得（0-10）分。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拍摄方法</w:t>
            </w:r>
          </w:p>
        </w:tc>
        <w:tc>
          <w:tcPr>
            <w:tcW w:type="dxa" w:w="2492"/>
          </w:tcPr>
          <w:p>
            <w:pPr>
              <w:pStyle w:val="null3"/>
            </w:pPr>
            <w:r>
              <w:rPr>
                <w:rFonts w:ascii="仿宋_GB2312" w:hAnsi="仿宋_GB2312" w:cs="仿宋_GB2312" w:eastAsia="仿宋_GB2312"/>
              </w:rPr>
              <w:t>拍摄方法丰富全面，画面视觉效果多元，得[7-10]分； 拍摄方法丰富全面，画面视觉效果较多元，得[3-6）分； 拍摄方法丰富全面，画面视觉效果不多元，得（0-3）分。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摄制技术标准</w:t>
            </w:r>
          </w:p>
        </w:tc>
        <w:tc>
          <w:tcPr>
            <w:tcW w:type="dxa" w:w="2492"/>
          </w:tcPr>
          <w:p>
            <w:pPr>
              <w:pStyle w:val="null3"/>
            </w:pPr>
            <w:r>
              <w:rPr>
                <w:rFonts w:ascii="仿宋_GB2312" w:hAnsi="仿宋_GB2312" w:cs="仿宋_GB2312" w:eastAsia="仿宋_GB2312"/>
              </w:rPr>
              <w:t>摄制运用专业级设备，画质达到4K 120帧以上，摄制技术属业内较高水准，得[6-10]分； 摄制运用较专业级设备，画质达到2K 120帧，摄制技术属业内普遍水准，得[1-5）分； 摄制运用一般专业级设备，画质不能达到2K 120帧，摄制技术属业内较低水准，不得分。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整片适用性</w:t>
            </w:r>
          </w:p>
        </w:tc>
        <w:tc>
          <w:tcPr>
            <w:tcW w:type="dxa" w:w="2492"/>
          </w:tcPr>
          <w:p>
            <w:pPr>
              <w:pStyle w:val="null3"/>
            </w:pPr>
            <w:r>
              <w:rPr>
                <w:rFonts w:ascii="仿宋_GB2312" w:hAnsi="仿宋_GB2312" w:cs="仿宋_GB2312" w:eastAsia="仿宋_GB2312"/>
              </w:rPr>
              <w:t>宣传片及专题片适用性强，能够适用多种场合播放，并能提供各类长短播放版本，得[7-10]分； 宣传片及专题片适用性较强，能够适用多场合播放，并能提供部分长短播放版本，得[3-6）分； 宣传片及专题片适用性不强，不能适用多种场合播放，不能提供各类长短播放版本，得（0-3）分。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根据项目需求，根据自身能力提供更优、更合理的售后服务方案及服务承诺（包括但不限于后续剪辑、改版、配音等根据采购人要求进一步深化拍摄方案的售后服务），售后服务方案详细，且具有服务承诺的得[0-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团队业绩</w:t>
            </w:r>
          </w:p>
        </w:tc>
        <w:tc>
          <w:tcPr>
            <w:tcW w:type="dxa" w:w="2492"/>
          </w:tcPr>
          <w:p>
            <w:pPr>
              <w:pStyle w:val="null3"/>
            </w:pPr>
            <w:r>
              <w:rPr>
                <w:rFonts w:ascii="仿宋_GB2312" w:hAnsi="仿宋_GB2312" w:cs="仿宋_GB2312" w:eastAsia="仿宋_GB2312"/>
              </w:rPr>
              <w:t>参与本项目的制作人员所制作的视频项目在省级及以上电视台或媒体进行播出的，每有一项得3分，没有上述业绩不得分。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价格分统一采用低价优先法计算，即满足招标文件要求且投标价格最 低的投标报价为评标基准价，其价格分为满分20分。其他投标单位的价格分统一按照下列公式计算：投标报价得分=(评标基准价／投标报价)×投标报价总分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