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版本号：JHZB-202411082.1B220250410001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汉中市乡村医生出诊箱采购项目(三次)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JHZB-202411082.1B2</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陕西建华工程项目管理有限公司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陕西建华工程项目管理有限公司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汉中市乡村医生出诊箱采购项目(三次)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JHZB-202411082.1B2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汉中市乡村医生出诊箱采购项目(三次)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全市共采购2957个乡村医生出诊箱。</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法定代表人授权书：法定代表人（其他组织、自然人）直接参加投标只须提供法定代表人（其他组织、自然人）身份证复印件加盖公章，法定代表人授权他人参加的，需提供法定代表人委托授权书原件及被授权人身份证复印件加盖公章并提供被授权人提交投标文件截止时间前一年内任意一个月在本单位缴纳社保证明；</w:t>
      </w:r>
    </w:p>
    <w:p>
      <w:pPr>
        <w:pStyle w:val="null3"/>
      </w:pPr>
      <w:r>
        <w:rPr>
          <w:rFonts w:ascii="仿宋_GB2312" w:hAnsi="仿宋_GB2312" w:cs="仿宋_GB2312" w:eastAsia="仿宋_GB2312"/>
        </w:rPr>
        <w:t>3、供应商资质：供应商应根据《医疗器械经营监督管理办法》国家市场监督管理总局令第54号第四条规定，提供相应的《医疗器械经营许可证》或《医疗器械经营备案凭证》等证明材料；</w:t>
      </w:r>
    </w:p>
    <w:p>
      <w:pPr>
        <w:pStyle w:val="null3"/>
      </w:pPr>
      <w:r>
        <w:rPr>
          <w:rFonts w:ascii="仿宋_GB2312" w:hAnsi="仿宋_GB2312" w:cs="仿宋_GB2312" w:eastAsia="仿宋_GB2312"/>
        </w:rPr>
        <w:t>4、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人”、“重大税收违法案件当事人名单"中，也未列入中国政府采购网“政府采购严重违法失信行为记录名单"中，须提供《汉中市政府采购供应商资格承诺函》；</w:t>
      </w:r>
    </w:p>
    <w:p>
      <w:pPr>
        <w:pStyle w:val="null3"/>
      </w:pPr>
      <w:r>
        <w:rPr>
          <w:rFonts w:ascii="仿宋_GB2312" w:hAnsi="仿宋_GB2312" w:cs="仿宋_GB2312" w:eastAsia="仿宋_GB2312"/>
        </w:rPr>
        <w:t>5、声明函：本项目不接受联合体投标，不允许分包。供应商应提供《非联合体不分包投标声明》；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0916-2626989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陕西建华工程项目管理有限公司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陕西省汉中市汉台区莲湖东路一职高东三楼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0916-8833222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采购包1：1,774,200.00元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开户名称：陕西建华工程项目管理有限公司汉中分公司</w:t>
            </w:r>
          </w:p>
          <w:p>
            <w:pPr>
              <w:pStyle w:val="null3"/>
            </w:pPr>
            <w:r>
              <w:rPr>
                <w:rFonts w:ascii="仿宋_GB2312" w:hAnsi="仿宋_GB2312" w:cs="仿宋_GB2312" w:eastAsia="仿宋_GB2312"/>
              </w:rPr>
              <w:t>开户银行：中国银行汉中莲湖路支行</w:t>
            </w:r>
          </w:p>
          <w:p>
            <w:pPr>
              <w:pStyle w:val="null3"/>
            </w:pPr>
            <w:r>
              <w:rPr>
                <w:rFonts w:ascii="仿宋_GB2312" w:hAnsi="仿宋_GB2312" w:cs="仿宋_GB2312" w:eastAsia="仿宋_GB2312"/>
              </w:rPr>
              <w:t>银行账号：1020 8663 8927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陕西建华工程项目管理有限公司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陕西建华工程项目管理有限公司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按招标文件要求验收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联系人：王女士</w:t>
      </w:r>
    </w:p>
    <w:p>
      <w:pPr>
        <w:pStyle w:val="null3"/>
      </w:pPr>
      <w:r>
        <w:rPr>
          <w:rFonts w:ascii="仿宋_GB2312" w:hAnsi="仿宋_GB2312" w:cs="仿宋_GB2312" w:eastAsia="仿宋_GB2312"/>
        </w:rPr>
        <w:t>联系电话：0916-8833222</w:t>
      </w:r>
    </w:p>
    <w:p>
      <w:pPr>
        <w:pStyle w:val="null3"/>
      </w:pPr>
      <w:r>
        <w:rPr>
          <w:rFonts w:ascii="仿宋_GB2312" w:hAnsi="仿宋_GB2312" w:cs="仿宋_GB2312" w:eastAsia="仿宋_GB2312"/>
        </w:rPr>
        <w:t>地址：陕西省汉中市汉台区莲湖东路一职高东三楼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为全市2957名乡村医生每人配发一个出诊箱。</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1,774,200.00</w:t>
      </w:r>
    </w:p>
    <w:p>
      <w:pPr>
        <w:pStyle w:val="null3"/>
      </w:pPr>
      <w:r>
        <w:rPr>
          <w:rFonts w:ascii="仿宋_GB2312" w:hAnsi="仿宋_GB2312" w:cs="仿宋_GB2312" w:eastAsia="仿宋_GB2312"/>
        </w:rPr>
        <w:t>采购包最高限价（元）: 1,774,200.00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乡村医生出诊箱</w:t>
            </w:r>
          </w:p>
        </w:tc>
        <w:tc>
          <w:tcPr>
            <w:tcW w:type="dxa" w:w="831"/>
          </w:tcPr>
          <w:p>
            <w:pPr>
              <w:pStyle w:val="null3"/>
              <w:jc w:val="right"/>
            </w:pPr>
            <w:r>
              <w:rPr>
                <w:rFonts w:ascii="仿宋_GB2312" w:hAnsi="仿宋_GB2312" w:cs="仿宋_GB2312" w:eastAsia="仿宋_GB2312"/>
              </w:rPr>
              <w:t>2,957.00</w:t>
            </w:r>
          </w:p>
        </w:tc>
        <w:tc>
          <w:tcPr>
            <w:tcW w:type="dxa" w:w="831"/>
          </w:tcPr>
          <w:p>
            <w:pPr>
              <w:pStyle w:val="null3"/>
              <w:jc w:val="right"/>
            </w:pPr>
            <w:r>
              <w:rPr>
                <w:rFonts w:ascii="仿宋_GB2312" w:hAnsi="仿宋_GB2312" w:cs="仿宋_GB2312" w:eastAsia="仿宋_GB2312"/>
              </w:rPr>
              <w:t>1,774,200.00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p>
      <w:pPr>
        <w:pStyle w:val="null3"/>
      </w:pPr>
      <w:r>
        <w:rPr>
          <w:rFonts w:ascii="仿宋_GB2312" w:hAnsi="仿宋_GB2312" w:cs="仿宋_GB2312" w:eastAsia="仿宋_GB2312"/>
        </w:rPr>
        <w:t>标的名称：乡村医生出诊箱</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rFonts w:ascii="仿宋_GB2312" w:hAnsi="仿宋_GB2312" w:cs="仿宋_GB2312" w:eastAsia="仿宋_GB2312"/>
              </w:rPr>
              <w:t xml:space="preserve"> 参数性质</w:t>
            </w:r>
          </w:p>
        </w:tc>
        <w:tc>
          <w:tcPr>
            <w:tcW w:type="dxa" w:w="2076"/>
          </w:tcPr>
          <w:p>
            <w:pPr>
              <w:pStyle w:val="null3"/>
            </w:pPr>
            <w:r>
              <w:rPr>
                <w:rFonts w:ascii="仿宋_GB2312" w:hAnsi="仿宋_GB2312" w:cs="仿宋_GB2312" w:eastAsia="仿宋_GB2312"/>
              </w:rPr>
              <w:t xml:space="preserve"> 序号</w:t>
            </w:r>
          </w:p>
        </w:tc>
        <w:tc>
          <w:tcPr>
            <w:tcW w:type="dxa" w:w="2076"/>
          </w:tcPr>
          <w:p>
            <w:pPr>
              <w:pStyle w:val="null3"/>
            </w:pPr>
            <w:r>
              <w:rPr>
                <w:rFonts w:ascii="仿宋_GB2312" w:hAnsi="仿宋_GB2312" w:cs="仿宋_GB2312" w:eastAsia="仿宋_GB2312"/>
              </w:rPr>
              <w:t xml:space="preserve"> 技术要求名称</w:t>
            </w:r>
          </w:p>
        </w:tc>
        <w:tc>
          <w:tcPr>
            <w:tcW w:type="dxa" w:w="2076"/>
          </w:tcPr>
          <w:p>
            <w:pPr>
              <w:pStyle w:val="null3"/>
            </w:pPr>
            <w:r>
              <w:rPr>
                <w:rFonts w:ascii="仿宋_GB2312" w:hAnsi="仿宋_GB2312" w:cs="仿宋_GB2312" w:eastAsia="仿宋_GB2312"/>
              </w:rPr>
              <w:t xml:space="preserve"> 技术参数与性能指标</w:t>
            </w:r>
          </w:p>
        </w:tc>
      </w:tr>
      <w:tr>
        <w:tc>
          <w:tcPr>
            <w:tcW w:type="dxa" w:w="2076"/>
          </w:tcPr>
          <w:p/>
        </w:tc>
        <w:tc>
          <w:tcPr>
            <w:tcW w:type="dxa" w:w="2076"/>
          </w:tcPr>
          <w:p>
            <w:pPr>
              <w:pStyle w:val="null3"/>
            </w:pPr>
            <w:r>
              <w:rPr>
                <w:rFonts w:ascii="仿宋_GB2312" w:hAnsi="仿宋_GB2312" w:cs="仿宋_GB2312" w:eastAsia="仿宋_GB2312"/>
              </w:rPr>
              <w:t>1</w:t>
            </w:r>
          </w:p>
        </w:tc>
        <w:tc>
          <w:tcPr>
            <w:tcW w:type="dxa" w:w="2076"/>
          </w:tcPr>
          <w:p/>
        </w:tc>
        <w:tc>
          <w:tcPr>
            <w:tcW w:type="dxa" w:w="2076"/>
          </w:tcPr>
          <w:tbl>
            <w:tblPr>
              <w:tblBorders>
                <w:top w:val="none" w:color="000000" w:sz="4"/>
                <w:left w:val="none" w:color="000000" w:sz="4"/>
                <w:bottom w:val="none" w:color="000000" w:sz="4"/>
                <w:right w:val="none" w:color="000000" w:sz="4"/>
                <w:insideH w:val="none"/>
                <w:insideV w:val="none"/>
              </w:tblBorders>
            </w:tblPr>
            <w:tblGrid>
              <w:gridCol w:w="182"/>
              <w:gridCol w:w="193"/>
              <w:gridCol w:w="254"/>
              <w:gridCol w:w="159"/>
              <w:gridCol w:w="257"/>
              <w:gridCol w:w="1093"/>
              <w:gridCol w:w="173"/>
            </w:tblGrid>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分类</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作用</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p>
                  <w:pPr>
                    <w:pStyle w:val="null3"/>
                    <w:jc w:val="center"/>
                  </w:pPr>
                  <w:r>
                    <w:rPr>
                      <w:rFonts w:ascii="仿宋_GB2312" w:hAnsi="仿宋_GB2312" w:cs="仿宋_GB2312" w:eastAsia="仿宋_GB2312"/>
                      <w:sz w:val="21"/>
                      <w:b/>
                    </w:rPr>
                    <w:t>（规格）</w:t>
                  </w:r>
                </w:p>
              </w:tc>
              <w:tc>
                <w:tcPr>
                  <w:tcW w:type="dxa" w:w="1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技术参数及要求</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8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93"/>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包材</w:t>
                  </w:r>
                </w:p>
              </w:tc>
              <w:tc>
                <w:tcPr>
                  <w:tcW w:type="dxa" w:w="25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出诊箱</w:t>
                  </w:r>
                </w:p>
              </w:tc>
              <w:tc>
                <w:tcPr>
                  <w:tcW w:type="dxa" w:w="1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257"/>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1、外箱材质：铝塑面板、铝合金框架、银色锁扣正面左右各一个</w:t>
                  </w:r>
                </w:p>
                <w:p>
                  <w:pPr>
                    <w:pStyle w:val="null3"/>
                    <w:jc w:val="left"/>
                  </w:pPr>
                  <w:r>
                    <w:rPr>
                      <w:rFonts w:ascii="仿宋_GB2312" w:hAnsi="仿宋_GB2312" w:cs="仿宋_GB2312" w:eastAsia="仿宋_GB2312"/>
                      <w:sz w:val="20"/>
                    </w:rPr>
                    <w:t>2、外箱尺寸：350mm×230mm×230mm（±5mm）</w:t>
                  </w:r>
                </w:p>
                <w:p>
                  <w:pPr>
                    <w:pStyle w:val="null3"/>
                    <w:jc w:val="left"/>
                  </w:pPr>
                  <w:r>
                    <w:rPr>
                      <w:rFonts w:ascii="仿宋_GB2312" w:hAnsi="仿宋_GB2312" w:cs="仿宋_GB2312" w:eastAsia="仿宋_GB2312"/>
                      <w:sz w:val="20"/>
                    </w:rPr>
                    <w:t>3、外箱颜色：闪银、箱内上盖内衬袋蓝色</w:t>
                  </w:r>
                </w:p>
                <w:p>
                  <w:pPr>
                    <w:pStyle w:val="null3"/>
                    <w:jc w:val="left"/>
                  </w:pPr>
                  <w:r>
                    <w:rPr>
                      <w:rFonts w:ascii="仿宋_GB2312" w:hAnsi="仿宋_GB2312" w:cs="仿宋_GB2312" w:eastAsia="仿宋_GB2312"/>
                      <w:sz w:val="20"/>
                    </w:rPr>
                    <w:t>4、外箱字体：外箱字体红色、行楷3cm×3cm（每字大小、正面标识）；外箱十字logo标识 5cm×5cm</w:t>
                  </w:r>
                </w:p>
                <w:p>
                  <w:pPr>
                    <w:pStyle w:val="null3"/>
                    <w:jc w:val="left"/>
                  </w:pPr>
                  <w:r>
                    <w:rPr>
                      <w:rFonts w:ascii="仿宋_GB2312" w:hAnsi="仿宋_GB2312" w:cs="仿宋_GB2312" w:eastAsia="仿宋_GB2312"/>
                      <w:sz w:val="20"/>
                    </w:rPr>
                    <w:t>5、配件：含PP托盘，含背负肩带，肩带平整、无勾丝、无散边。</w:t>
                  </w:r>
                </w:p>
                <w:p>
                  <w:pPr>
                    <w:pStyle w:val="null3"/>
                    <w:jc w:val="left"/>
                  </w:pPr>
                  <w:r>
                    <w:rPr>
                      <w:rFonts w:ascii="仿宋_GB2312" w:hAnsi="仿宋_GB2312" w:cs="仿宋_GB2312" w:eastAsia="仿宋_GB2312"/>
                      <w:sz w:val="20"/>
                    </w:rPr>
                    <w:t>6、外箱外观色泽均匀、表面光滑、放置平稳；无明显污渍、刮痕；锁扣操作灵活、无锈斑、锋棱；拎手位置准确、美观；紧固稳定，四周有铝合金包角；底部ABS材料垫脚。</w:t>
                  </w:r>
                </w:p>
                <w:p>
                  <w:pPr>
                    <w:pStyle w:val="null3"/>
                    <w:jc w:val="left"/>
                  </w:pPr>
                  <w:r>
                    <w:rPr>
                      <w:rFonts w:ascii="仿宋_GB2312" w:hAnsi="仿宋_GB2312" w:cs="仿宋_GB2312" w:eastAsia="仿宋_GB2312"/>
                      <w:sz w:val="20"/>
                    </w:rPr>
                    <w:t>7、箱体上盖有蓝色绒布双分隔兜袋。出诊箱内有相应物品置物格</w:t>
                  </w:r>
                </w:p>
                <w:p>
                  <w:pPr>
                    <w:pStyle w:val="null3"/>
                    <w:jc w:val="left"/>
                  </w:pPr>
                  <w:r>
                    <w:rPr>
                      <w:rFonts w:ascii="仿宋_GB2312" w:hAnsi="仿宋_GB2312" w:cs="仿宋_GB2312" w:eastAsia="仿宋_GB2312"/>
                      <w:sz w:val="20"/>
                    </w:rPr>
                    <w:t>8、PP托盘为环保材质，洁净无杂质，整体无扭曲变形，放置内箱后贴合无较大摆动</w:t>
                  </w:r>
                </w:p>
                <w:p>
                  <w:pPr>
                    <w:pStyle w:val="null3"/>
                    <w:jc w:val="left"/>
                  </w:pPr>
                  <w:r>
                    <w:rPr>
                      <w:rFonts w:ascii="仿宋_GB2312" w:hAnsi="仿宋_GB2312" w:cs="仿宋_GB2312" w:eastAsia="仿宋_GB2312"/>
                      <w:sz w:val="20"/>
                    </w:rPr>
                    <w:t>9、干燥剂：1包；主要成分：环保矿物</w:t>
                  </w:r>
                </w:p>
              </w:tc>
              <w:tc>
                <w:tcPr>
                  <w:tcW w:type="dxa" w:w="17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2957套</w:t>
                  </w:r>
                </w:p>
              </w:tc>
            </w:tr>
            <w:tr>
              <w:tc>
                <w:tcPr>
                  <w:tcW w:type="dxa" w:w="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应急工具</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★血压表（核心产品）</w:t>
                  </w:r>
                </w:p>
              </w:tc>
              <w:tc>
                <w:tcPr>
                  <w:tcW w:type="dxa" w:w="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测量血压</w:t>
                  </w:r>
                </w:p>
              </w:tc>
              <w:tc>
                <w:tcPr>
                  <w:tcW w:type="dxa" w:w="2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1、医用臂式电子血压计，产品组成：主机一台、说明书一份、臂带一条、外包装盒一个。</w:t>
                  </w:r>
                </w:p>
                <w:p>
                  <w:pPr>
                    <w:pStyle w:val="null3"/>
                    <w:jc w:val="left"/>
                  </w:pPr>
                  <w:r>
                    <w:rPr>
                      <w:rFonts w:ascii="仿宋_GB2312" w:hAnsi="仿宋_GB2312" w:cs="仿宋_GB2312" w:eastAsia="仿宋_GB2312"/>
                      <w:sz w:val="20"/>
                    </w:rPr>
                    <w:t xml:space="preserve">2、显示方式：液晶数字显示屏。  </w:t>
                  </w:r>
                </w:p>
                <w:p>
                  <w:pPr>
                    <w:pStyle w:val="null3"/>
                    <w:jc w:val="left"/>
                  </w:pPr>
                  <w:r>
                    <w:rPr>
                      <w:rFonts w:ascii="仿宋_GB2312" w:hAnsi="仿宋_GB2312" w:cs="仿宋_GB2312" w:eastAsia="仿宋_GB2312"/>
                      <w:sz w:val="20"/>
                    </w:rPr>
                    <w:t>3、测量范围：0～280mmHg；（±3.75mmHg）。</w:t>
                  </w:r>
                </w:p>
                <w:p>
                  <w:pPr>
                    <w:pStyle w:val="null3"/>
                    <w:jc w:val="left"/>
                  </w:pPr>
                  <w:r>
                    <w:rPr>
                      <w:rFonts w:ascii="仿宋_GB2312" w:hAnsi="仿宋_GB2312" w:cs="仿宋_GB2312" w:eastAsia="仿宋_GB2312"/>
                      <w:sz w:val="20"/>
                    </w:rPr>
                    <w:t>4、记忆组数： ≥90组记忆值。</w:t>
                  </w:r>
                </w:p>
                <w:p>
                  <w:pPr>
                    <w:pStyle w:val="null3"/>
                    <w:jc w:val="left"/>
                  </w:pPr>
                  <w:r>
                    <w:rPr>
                      <w:rFonts w:ascii="仿宋_GB2312" w:hAnsi="仿宋_GB2312" w:cs="仿宋_GB2312" w:eastAsia="仿宋_GB2312"/>
                      <w:sz w:val="20"/>
                    </w:rPr>
                    <w:t>5、供电方式：可充电或干电池。</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★血糖仪（核心产品）</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测量血糖</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1、医用血糖仪，配置组成：由主机、试纸≥50条、采血针≥50只、说明书、收纳包等组成。  </w:t>
                  </w:r>
                </w:p>
                <w:p>
                  <w:pPr>
                    <w:pStyle w:val="null3"/>
                    <w:jc w:val="left"/>
                  </w:pPr>
                  <w:r>
                    <w:rPr>
                      <w:rFonts w:ascii="仿宋_GB2312" w:hAnsi="仿宋_GB2312" w:cs="仿宋_GB2312" w:eastAsia="仿宋_GB2312"/>
                      <w:sz w:val="20"/>
                    </w:rPr>
                    <w:t>2、血糖测量范围：1.1mmol/L-33.3mmol/L。</w:t>
                  </w:r>
                </w:p>
                <w:p>
                  <w:pPr>
                    <w:pStyle w:val="null3"/>
                    <w:jc w:val="left"/>
                  </w:pPr>
                  <w:r>
                    <w:rPr>
                      <w:rFonts w:ascii="仿宋_GB2312" w:hAnsi="仿宋_GB2312" w:cs="仿宋_GB2312" w:eastAsia="仿宋_GB2312"/>
                      <w:sz w:val="20"/>
                    </w:rPr>
                    <w:t>3、记忆容量：≥250组血糖值。</w:t>
                  </w:r>
                </w:p>
                <w:p>
                  <w:pPr>
                    <w:pStyle w:val="null3"/>
                    <w:jc w:val="left"/>
                  </w:pPr>
                  <w:r>
                    <w:rPr>
                      <w:rFonts w:ascii="仿宋_GB2312" w:hAnsi="仿宋_GB2312" w:cs="仿宋_GB2312" w:eastAsia="仿宋_GB2312"/>
                      <w:sz w:val="20"/>
                    </w:rPr>
                    <w:t>4、测量时间：≤8S。</w:t>
                  </w:r>
                </w:p>
                <w:p>
                  <w:pPr>
                    <w:pStyle w:val="null3"/>
                    <w:jc w:val="left"/>
                  </w:pPr>
                  <w:r>
                    <w:rPr>
                      <w:rFonts w:ascii="仿宋_GB2312" w:hAnsi="仿宋_GB2312" w:cs="仿宋_GB2312" w:eastAsia="仿宋_GB2312"/>
                      <w:sz w:val="20"/>
                    </w:rPr>
                    <w:t>5、测量范围：HCT值10%-70%；误差范围：≤15%。</w:t>
                  </w:r>
                </w:p>
                <w:p>
                  <w:pPr>
                    <w:pStyle w:val="null3"/>
                    <w:jc w:val="left"/>
                  </w:pPr>
                  <w:r>
                    <w:rPr>
                      <w:rFonts w:ascii="仿宋_GB2312" w:hAnsi="仿宋_GB2312" w:cs="仿宋_GB2312" w:eastAsia="仿宋_GB2312"/>
                      <w:sz w:val="20"/>
                    </w:rPr>
                    <w:t>6、检测样本：毛细血管全血，血样量≤1微升。</w:t>
                  </w:r>
                </w:p>
                <w:p>
                  <w:pPr>
                    <w:pStyle w:val="null3"/>
                    <w:jc w:val="left"/>
                  </w:pPr>
                  <w:r>
                    <w:rPr>
                      <w:rFonts w:ascii="仿宋_GB2312" w:hAnsi="仿宋_GB2312" w:cs="仿宋_GB2312" w:eastAsia="仿宋_GB2312"/>
                      <w:sz w:val="20"/>
                    </w:rPr>
                    <w:t>7、显示形式：液晶显示。</w:t>
                  </w:r>
                </w:p>
                <w:p>
                  <w:pPr>
                    <w:pStyle w:val="null3"/>
                    <w:jc w:val="left"/>
                  </w:pPr>
                  <w:r>
                    <w:rPr>
                      <w:rFonts w:ascii="仿宋_GB2312" w:hAnsi="仿宋_GB2312" w:cs="仿宋_GB2312" w:eastAsia="仿宋_GB2312"/>
                      <w:sz w:val="20"/>
                    </w:rPr>
                    <w:t>8、调码方式：全自动免调码。</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指脉氧</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检测血氧水平</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1台</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1、指夹式指脉氧，产品组成：外包装盒一个、主机一台、干电池或纽扣电池、挂绳1条、说明书一份。</w:t>
                  </w:r>
                </w:p>
                <w:p>
                  <w:pPr>
                    <w:pStyle w:val="null3"/>
                    <w:jc w:val="left"/>
                  </w:pPr>
                  <w:r>
                    <w:rPr>
                      <w:rFonts w:ascii="仿宋_GB2312" w:hAnsi="仿宋_GB2312" w:cs="仿宋_GB2312" w:eastAsia="仿宋_GB2312"/>
                      <w:sz w:val="20"/>
                    </w:rPr>
                    <w:t>2、显示形式：电子显示屏，硅胶指垫。</w:t>
                  </w:r>
                </w:p>
                <w:p>
                  <w:pPr>
                    <w:pStyle w:val="null3"/>
                    <w:jc w:val="left"/>
                  </w:pPr>
                  <w:r>
                    <w:rPr>
                      <w:rFonts w:ascii="仿宋_GB2312" w:hAnsi="仿宋_GB2312" w:cs="仿宋_GB2312" w:eastAsia="仿宋_GB2312"/>
                      <w:sz w:val="20"/>
                    </w:rPr>
                    <w:t>3、测量脉搏血氧饱和度值：35%~100%。</w:t>
                  </w:r>
                </w:p>
                <w:p>
                  <w:pPr>
                    <w:pStyle w:val="null3"/>
                    <w:jc w:val="left"/>
                  </w:pPr>
                  <w:r>
                    <w:rPr>
                      <w:rFonts w:ascii="仿宋_GB2312" w:hAnsi="仿宋_GB2312" w:cs="仿宋_GB2312" w:eastAsia="仿宋_GB2312"/>
                      <w:sz w:val="20"/>
                    </w:rPr>
                    <w:t>4、具备自动关机功能</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听诊器</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听诊</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1、医用单听听诊器，传音应清晰。</w:t>
                  </w:r>
                </w:p>
                <w:p>
                  <w:pPr>
                    <w:pStyle w:val="null3"/>
                    <w:jc w:val="left"/>
                  </w:pPr>
                  <w:r>
                    <w:rPr>
                      <w:rFonts w:ascii="仿宋_GB2312" w:hAnsi="仿宋_GB2312" w:cs="仿宋_GB2312" w:eastAsia="仿宋_GB2312"/>
                      <w:sz w:val="20"/>
                    </w:rPr>
                    <w:t>▲2、耳挂弹簧片的硬度在HR15N82.9—88.4范围内（提供检测报告等相关证明材料）。</w:t>
                  </w:r>
                </w:p>
                <w:p>
                  <w:pPr>
                    <w:pStyle w:val="null3"/>
                    <w:jc w:val="left"/>
                  </w:pPr>
                  <w:r>
                    <w:rPr>
                      <w:rFonts w:ascii="仿宋_GB2312" w:hAnsi="仿宋_GB2312" w:cs="仿宋_GB2312" w:eastAsia="仿宋_GB2312"/>
                      <w:sz w:val="20"/>
                    </w:rPr>
                    <w:t>▲3、耳挂的弹力应适宜，当二耳塞拉开140mm时，其弹力值在1.3—5.0N范围内（提供检测报告等相关证明材料）。</w:t>
                  </w:r>
                </w:p>
                <w:p>
                  <w:pPr>
                    <w:pStyle w:val="null3"/>
                    <w:jc w:val="left"/>
                  </w:pPr>
                  <w:r>
                    <w:rPr>
                      <w:rFonts w:ascii="仿宋_GB2312" w:hAnsi="仿宋_GB2312" w:cs="仿宋_GB2312" w:eastAsia="仿宋_GB2312"/>
                      <w:sz w:val="20"/>
                    </w:rPr>
                    <w:t>4、耳挂的弹性应良好，当二耳塞拉开相距300mm时，恢复后其变形距离≤10mm。</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水银体温计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测量体温</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5支</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测量范围</w:t>
                  </w:r>
                  <w:r>
                    <w:rPr>
                      <w:rFonts w:ascii="仿宋_GB2312" w:hAnsi="仿宋_GB2312" w:cs="仿宋_GB2312" w:eastAsia="仿宋_GB2312"/>
                      <w:sz w:val="20"/>
                    </w:rPr>
                    <w:t>35℃—42℃</w:t>
                  </w:r>
                </w:p>
                <w:p>
                  <w:pPr>
                    <w:pStyle w:val="null3"/>
                    <w:jc w:val="left"/>
                  </w:pPr>
                  <w:r>
                    <w:rPr>
                      <w:rFonts w:ascii="仿宋_GB2312" w:hAnsi="仿宋_GB2312" w:cs="仿宋_GB2312" w:eastAsia="仿宋_GB2312"/>
                      <w:sz w:val="20"/>
                    </w:rPr>
                    <w:t>2、体温计示值允差为+0.1℃，—0.15℃</w:t>
                  </w:r>
                </w:p>
                <w:p>
                  <w:pPr>
                    <w:pStyle w:val="null3"/>
                    <w:jc w:val="left"/>
                  </w:pPr>
                  <w:r>
                    <w:rPr>
                      <w:rFonts w:ascii="仿宋_GB2312" w:hAnsi="仿宋_GB2312" w:cs="仿宋_GB2312" w:eastAsia="仿宋_GB2312"/>
                      <w:sz w:val="20"/>
                    </w:rPr>
                    <w:t>3、温度的最小分度值为0.1℃，分度应均匀</w:t>
                  </w:r>
                </w:p>
                <w:p>
                  <w:pPr>
                    <w:pStyle w:val="null3"/>
                    <w:jc w:val="left"/>
                  </w:pPr>
                  <w:r>
                    <w:rPr>
                      <w:rFonts w:ascii="仿宋_GB2312" w:hAnsi="仿宋_GB2312" w:cs="仿宋_GB2312" w:eastAsia="仿宋_GB2312"/>
                      <w:sz w:val="20"/>
                    </w:rPr>
                    <w:t>4、包装：塑料管单独包装。</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压舌板</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口腔检查</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10片</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1、一次性使用</w:t>
                  </w:r>
                </w:p>
                <w:p>
                  <w:pPr>
                    <w:pStyle w:val="null3"/>
                    <w:jc w:val="left"/>
                  </w:pPr>
                  <w:r>
                    <w:rPr>
                      <w:rFonts w:ascii="仿宋_GB2312" w:hAnsi="仿宋_GB2312" w:cs="仿宋_GB2312" w:eastAsia="仿宋_GB2312"/>
                      <w:sz w:val="20"/>
                    </w:rPr>
                    <w:t>2、材质：木质，灭菌处理独立包装</w:t>
                  </w:r>
                </w:p>
                <w:p>
                  <w:pPr>
                    <w:pStyle w:val="null3"/>
                    <w:jc w:val="left"/>
                  </w:pPr>
                  <w:r>
                    <w:rPr>
                      <w:rFonts w:ascii="仿宋_GB2312" w:hAnsi="仿宋_GB2312" w:cs="仿宋_GB2312" w:eastAsia="仿宋_GB2312"/>
                      <w:sz w:val="20"/>
                    </w:rPr>
                    <w:t>3、150mm×18mm（允许误差±10%）</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眼底手电</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1支</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1、材质：铝合金外壳</w:t>
                  </w:r>
                </w:p>
                <w:p>
                  <w:pPr>
                    <w:pStyle w:val="null3"/>
                    <w:jc w:val="left"/>
                  </w:pPr>
                  <w:r>
                    <w:rPr>
                      <w:rFonts w:ascii="仿宋_GB2312" w:hAnsi="仿宋_GB2312" w:cs="仿宋_GB2312" w:eastAsia="仿宋_GB2312"/>
                      <w:sz w:val="20"/>
                    </w:rPr>
                    <w:t>2、光源形式：LED光源</w:t>
                  </w:r>
                </w:p>
                <w:p>
                  <w:pPr>
                    <w:pStyle w:val="null3"/>
                    <w:jc w:val="left"/>
                  </w:pPr>
                  <w:r>
                    <w:rPr>
                      <w:rFonts w:ascii="仿宋_GB2312" w:hAnsi="仿宋_GB2312" w:cs="仿宋_GB2312" w:eastAsia="仿宋_GB2312"/>
                      <w:sz w:val="20"/>
                    </w:rPr>
                    <w:t>3、尺寸：直径1.5cm±0.5cm；长度13.5cm±1cm</w:t>
                  </w:r>
                </w:p>
                <w:p>
                  <w:pPr>
                    <w:pStyle w:val="null3"/>
                    <w:jc w:val="left"/>
                  </w:pPr>
                  <w:r>
                    <w:rPr>
                      <w:rFonts w:ascii="仿宋_GB2312" w:hAnsi="仿宋_GB2312" w:cs="仿宋_GB2312" w:eastAsia="仿宋_GB2312"/>
                      <w:sz w:val="20"/>
                    </w:rPr>
                    <w:t>4、含电池或可充电</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七号电池</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4节</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7号电池</w:t>
                  </w:r>
                </w:p>
                <w:p>
                  <w:pPr>
                    <w:pStyle w:val="null3"/>
                    <w:jc w:val="left"/>
                  </w:pPr>
                  <w:r>
                    <w:rPr>
                      <w:rFonts w:ascii="仿宋_GB2312" w:hAnsi="仿宋_GB2312" w:cs="仿宋_GB2312" w:eastAsia="仿宋_GB2312"/>
                      <w:sz w:val="20"/>
                    </w:rPr>
                    <w:t>2、标称电压：1.5v</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铝针盒</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存物</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1、规格：≥20ml。</w:t>
                  </w:r>
                </w:p>
                <w:p>
                  <w:pPr>
                    <w:pStyle w:val="null3"/>
                    <w:jc w:val="left"/>
                  </w:pPr>
                  <w:r>
                    <w:rPr>
                      <w:rFonts w:ascii="仿宋_GB2312" w:hAnsi="仿宋_GB2312" w:cs="仿宋_GB2312" w:eastAsia="仿宋_GB2312"/>
                      <w:sz w:val="20"/>
                    </w:rPr>
                    <w:t>2、材质：铝材质。</w:t>
                  </w:r>
                </w:p>
                <w:p>
                  <w:pPr>
                    <w:pStyle w:val="null3"/>
                    <w:jc w:val="left"/>
                  </w:pPr>
                  <w:r>
                    <w:rPr>
                      <w:rFonts w:ascii="仿宋_GB2312" w:hAnsi="仿宋_GB2312" w:cs="仿宋_GB2312" w:eastAsia="仿宋_GB2312"/>
                      <w:sz w:val="20"/>
                    </w:rPr>
                    <w:t>3、工艺：边缘应圆滑，一体成型。</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小砂轮</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切割</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规格：直径</w:t>
                  </w:r>
                  <w:r>
                    <w:rPr>
                      <w:rFonts w:ascii="仿宋_GB2312" w:hAnsi="仿宋_GB2312" w:cs="仿宋_GB2312" w:eastAsia="仿宋_GB2312"/>
                      <w:sz w:val="20"/>
                    </w:rPr>
                    <w:t>20mm±1mm；厚度2.5mm±1mm；孔径3mm</w:t>
                  </w:r>
                </w:p>
                <w:p>
                  <w:pPr>
                    <w:pStyle w:val="null3"/>
                    <w:jc w:val="left"/>
                  </w:pPr>
                  <w:r>
                    <w:rPr>
                      <w:rFonts w:ascii="仿宋_GB2312" w:hAnsi="仿宋_GB2312" w:cs="仿宋_GB2312" w:eastAsia="仿宋_GB2312"/>
                      <w:sz w:val="20"/>
                    </w:rPr>
                    <w:t>2、材质：砂轮</w:t>
                  </w:r>
                </w:p>
                <w:p>
                  <w:pPr>
                    <w:pStyle w:val="null3"/>
                    <w:jc w:val="left"/>
                  </w:pPr>
                  <w:r>
                    <w:rPr>
                      <w:rFonts w:ascii="仿宋_GB2312" w:hAnsi="仿宋_GB2312" w:cs="仿宋_GB2312" w:eastAsia="仿宋_GB2312"/>
                      <w:sz w:val="20"/>
                    </w:rPr>
                    <w:t>3、工艺：烧结工艺</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一次性使用无菌急救包</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包扎</w:t>
                  </w:r>
                  <w:r>
                    <w:rPr>
                      <w:rFonts w:ascii="仿宋_GB2312" w:hAnsi="仿宋_GB2312" w:cs="仿宋_GB2312" w:eastAsia="仿宋_GB2312"/>
                      <w:sz w:val="20"/>
                    </w:rPr>
                    <w:t>/固定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1、含82型无菌三角巾一个。</w:t>
                  </w:r>
                </w:p>
                <w:p>
                  <w:pPr>
                    <w:pStyle w:val="null3"/>
                    <w:jc w:val="left"/>
                  </w:pPr>
                  <w:r>
                    <w:rPr>
                      <w:rFonts w:ascii="仿宋_GB2312" w:hAnsi="仿宋_GB2312" w:cs="仿宋_GB2312" w:eastAsia="仿宋_GB2312"/>
                      <w:sz w:val="20"/>
                    </w:rPr>
                    <w:t>2、独立包装的一次性无菌换药包（至少包括纱布叠片、一次性使用医用手套、敷料镊子、棉球等）。</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针灸针</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治疗</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≥60根/套</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1、适用范围：供临床中医针灸疗法使用。</w:t>
                  </w:r>
                </w:p>
                <w:p>
                  <w:pPr>
                    <w:pStyle w:val="null3"/>
                    <w:jc w:val="left"/>
                  </w:pPr>
                  <w:r>
                    <w:rPr>
                      <w:rFonts w:ascii="仿宋_GB2312" w:hAnsi="仿宋_GB2312" w:cs="仿宋_GB2312" w:eastAsia="仿宋_GB2312"/>
                      <w:sz w:val="20"/>
                    </w:rPr>
                    <w:t>2、毫针规格：≥60根/套。</w:t>
                  </w:r>
                </w:p>
                <w:p>
                  <w:pPr>
                    <w:pStyle w:val="null3"/>
                    <w:jc w:val="left"/>
                  </w:pPr>
                  <w:r>
                    <w:rPr>
                      <w:rFonts w:ascii="仿宋_GB2312" w:hAnsi="仿宋_GB2312" w:cs="仿宋_GB2312" w:eastAsia="仿宋_GB2312"/>
                      <w:sz w:val="20"/>
                    </w:rPr>
                    <w:t>3、尺寸：直径0.35mm；</w:t>
                  </w:r>
                </w:p>
                <w:p>
                  <w:pPr>
                    <w:pStyle w:val="null3"/>
                    <w:jc w:val="left"/>
                  </w:pPr>
                  <w:r>
                    <w:rPr>
                      <w:rFonts w:ascii="仿宋_GB2312" w:hAnsi="仿宋_GB2312" w:cs="仿宋_GB2312" w:eastAsia="仿宋_GB2312"/>
                      <w:sz w:val="20"/>
                    </w:rPr>
                    <w:t>长度：</w:t>
                  </w:r>
                  <w:r>
                    <w:rPr>
                      <w:rFonts w:ascii="仿宋_GB2312" w:hAnsi="仿宋_GB2312" w:cs="仿宋_GB2312" w:eastAsia="仿宋_GB2312"/>
                      <w:sz w:val="20"/>
                    </w:rPr>
                    <w:t>13mm（半寸）、25mm（一寸）、</w:t>
                  </w:r>
                </w:p>
                <w:p>
                  <w:pPr>
                    <w:pStyle w:val="null3"/>
                    <w:jc w:val="left"/>
                  </w:pPr>
                  <w:r>
                    <w:rPr>
                      <w:rFonts w:ascii="仿宋_GB2312" w:hAnsi="仿宋_GB2312" w:cs="仿宋_GB2312" w:eastAsia="仿宋_GB2312"/>
                      <w:sz w:val="20"/>
                    </w:rPr>
                    <w:t>40mm（一寸半）、50mm（两寸）、</w:t>
                  </w:r>
                </w:p>
                <w:p>
                  <w:pPr>
                    <w:pStyle w:val="null3"/>
                    <w:jc w:val="left"/>
                  </w:pPr>
                  <w:r>
                    <w:rPr>
                      <w:rFonts w:ascii="仿宋_GB2312" w:hAnsi="仿宋_GB2312" w:cs="仿宋_GB2312" w:eastAsia="仿宋_GB2312"/>
                      <w:sz w:val="20"/>
                    </w:rPr>
                    <w:t>60mm（两寸半）、75mm（三寸）</w:t>
                  </w:r>
                </w:p>
                <w:p>
                  <w:pPr>
                    <w:pStyle w:val="null3"/>
                    <w:jc w:val="left"/>
                  </w:pPr>
                  <w:r>
                    <w:rPr>
                      <w:rFonts w:ascii="仿宋_GB2312" w:hAnsi="仿宋_GB2312" w:cs="仿宋_GB2312" w:eastAsia="仿宋_GB2312"/>
                      <w:sz w:val="20"/>
                    </w:rPr>
                    <w:t>等尺寸，每种尺寸</w:t>
                  </w:r>
                  <w:r>
                    <w:rPr>
                      <w:rFonts w:ascii="仿宋_GB2312" w:hAnsi="仿宋_GB2312" w:cs="仿宋_GB2312" w:eastAsia="仿宋_GB2312"/>
                      <w:sz w:val="20"/>
                    </w:rPr>
                    <w:t>≥10支</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普通手术剪</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剪切</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1把</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1、医用手术剪，直剪尖头。</w:t>
                  </w:r>
                </w:p>
                <w:p>
                  <w:pPr>
                    <w:pStyle w:val="null3"/>
                    <w:jc w:val="left"/>
                  </w:pPr>
                  <w:r>
                    <w:rPr>
                      <w:rFonts w:ascii="仿宋_GB2312" w:hAnsi="仿宋_GB2312" w:cs="仿宋_GB2312" w:eastAsia="仿宋_GB2312"/>
                      <w:sz w:val="20"/>
                    </w:rPr>
                    <w:t>2、材质：430不锈钢。</w:t>
                  </w:r>
                </w:p>
                <w:p>
                  <w:pPr>
                    <w:pStyle w:val="null3"/>
                    <w:jc w:val="left"/>
                  </w:pPr>
                  <w:r>
                    <w:rPr>
                      <w:rFonts w:ascii="仿宋_GB2312" w:hAnsi="仿宋_GB2312" w:cs="仿宋_GB2312" w:eastAsia="仿宋_GB2312"/>
                      <w:sz w:val="20"/>
                    </w:rPr>
                    <w:t>3、规格：14cm。</w:t>
                  </w:r>
                </w:p>
                <w:p>
                  <w:pPr>
                    <w:pStyle w:val="null3"/>
                    <w:jc w:val="left"/>
                  </w:pPr>
                  <w:r>
                    <w:rPr>
                      <w:rFonts w:ascii="仿宋_GB2312" w:hAnsi="仿宋_GB2312" w:cs="仿宋_GB2312" w:eastAsia="仿宋_GB2312"/>
                      <w:sz w:val="20"/>
                    </w:rPr>
                    <w:t>4、包装：独立密封包装、包装上带产品合格证、生产批号、使用年限、产品备案证号、生产备案证号、生产厂家信息。</w:t>
                  </w:r>
                </w:p>
                <w:p>
                  <w:pPr>
                    <w:pStyle w:val="null3"/>
                    <w:jc w:val="left"/>
                  </w:pPr>
                  <w:r>
                    <w:rPr>
                      <w:rFonts w:ascii="仿宋_GB2312" w:hAnsi="仿宋_GB2312" w:cs="仿宋_GB2312" w:eastAsia="仿宋_GB2312"/>
                      <w:sz w:val="20"/>
                    </w:rPr>
                    <w:t>5、表面光滑，无锋棱、毛刺、裂纹、飞边等。</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93"/>
                  <w:vMerge/>
                  <w:tcBorders>
                    <w:top w:val="singl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敷料镊</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捏取消毒物</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1把</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材质：医用敷料镊，不锈钢材质。</w:t>
                  </w:r>
                </w:p>
                <w:p>
                  <w:pPr>
                    <w:pStyle w:val="null3"/>
                    <w:jc w:val="left"/>
                  </w:pPr>
                  <w:r>
                    <w:rPr>
                      <w:rFonts w:ascii="仿宋_GB2312" w:hAnsi="仿宋_GB2312" w:cs="仿宋_GB2312" w:eastAsia="仿宋_GB2312"/>
                      <w:sz w:val="20"/>
                    </w:rPr>
                    <w:t>2、规格：12.5cm±1cm。</w:t>
                  </w:r>
                </w:p>
                <w:p>
                  <w:pPr>
                    <w:pStyle w:val="null3"/>
                    <w:jc w:val="left"/>
                  </w:pPr>
                  <w:r>
                    <w:rPr>
                      <w:rFonts w:ascii="仿宋_GB2312" w:hAnsi="仿宋_GB2312" w:cs="仿宋_GB2312" w:eastAsia="仿宋_GB2312"/>
                      <w:sz w:val="20"/>
                    </w:rPr>
                    <w:t>3、镊子两边应对称，唇头齿应清晰完整，不得有缺齿、烂齿的现象。</w:t>
                  </w:r>
                </w:p>
                <w:p>
                  <w:pPr>
                    <w:pStyle w:val="null3"/>
                    <w:jc w:val="left"/>
                  </w:pPr>
                  <w:r>
                    <w:rPr>
                      <w:rFonts w:ascii="仿宋_GB2312" w:hAnsi="仿宋_GB2312" w:cs="仿宋_GB2312" w:eastAsia="仿宋_GB2312"/>
                      <w:sz w:val="20"/>
                    </w:rPr>
                    <w:t>4、包装：独立密封包装、包装上带产品合格证、生产批号、使用年限、产品备案证号、生产备案证号、生产厂家信息。</w:t>
                  </w:r>
                </w:p>
                <w:p>
                  <w:pPr>
                    <w:pStyle w:val="null3"/>
                    <w:jc w:val="left"/>
                  </w:pPr>
                  <w:r>
                    <w:rPr>
                      <w:rFonts w:ascii="仿宋_GB2312" w:hAnsi="仿宋_GB2312" w:cs="仿宋_GB2312" w:eastAsia="仿宋_GB2312"/>
                      <w:sz w:val="20"/>
                    </w:rPr>
                    <w:t>5、表面光滑，无锋棱、毛刺、裂纹、飞边等。</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9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卫生急救</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大药瓶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存放药品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1、材质：HDPE</w:t>
                  </w:r>
                </w:p>
                <w:p>
                  <w:pPr>
                    <w:pStyle w:val="null3"/>
                    <w:jc w:val="left"/>
                  </w:pPr>
                  <w:r>
                    <w:rPr>
                      <w:rFonts w:ascii="仿宋_GB2312" w:hAnsi="仿宋_GB2312" w:cs="仿宋_GB2312" w:eastAsia="仿宋_GB2312"/>
                      <w:sz w:val="20"/>
                    </w:rPr>
                    <w:t>2、容量：≥100ml</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小药瓶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存放药品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1个</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1、材质：HDPE</w:t>
                  </w:r>
                </w:p>
                <w:p>
                  <w:pPr>
                    <w:pStyle w:val="null3"/>
                    <w:jc w:val="left"/>
                  </w:pPr>
                  <w:r>
                    <w:rPr>
                      <w:rFonts w:ascii="仿宋_GB2312" w:hAnsi="仿宋_GB2312" w:cs="仿宋_GB2312" w:eastAsia="仿宋_GB2312"/>
                      <w:sz w:val="20"/>
                    </w:rPr>
                    <w:t>2、容量：≥30ml</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酒精瓶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存放酒精</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1瓶</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1、材质：玻璃材质，广口瓶</w:t>
                  </w:r>
                </w:p>
                <w:p>
                  <w:pPr>
                    <w:pStyle w:val="null3"/>
                    <w:jc w:val="left"/>
                  </w:pPr>
                  <w:r>
                    <w:rPr>
                      <w:rFonts w:ascii="仿宋_GB2312" w:hAnsi="仿宋_GB2312" w:cs="仿宋_GB2312" w:eastAsia="仿宋_GB2312"/>
                      <w:sz w:val="20"/>
                    </w:rPr>
                    <w:t>2、容量≥50ml。</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碘酒瓶</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存放碘酒</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1瓶</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1、材质：玻璃材质，广口瓶</w:t>
                  </w:r>
                </w:p>
                <w:p>
                  <w:pPr>
                    <w:pStyle w:val="null3"/>
                    <w:jc w:val="left"/>
                  </w:pPr>
                  <w:r>
                    <w:rPr>
                      <w:rFonts w:ascii="仿宋_GB2312" w:hAnsi="仿宋_GB2312" w:cs="仿宋_GB2312" w:eastAsia="仿宋_GB2312"/>
                      <w:sz w:val="20"/>
                    </w:rPr>
                    <w:t>2、容量≥50ml。</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医用脱脂绷带</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包扎</w:t>
                  </w:r>
                  <w:r>
                    <w:rPr>
                      <w:rFonts w:ascii="仿宋_GB2312" w:hAnsi="仿宋_GB2312" w:cs="仿宋_GB2312" w:eastAsia="仿宋_GB2312"/>
                      <w:sz w:val="20"/>
                    </w:rPr>
                    <w:t>/固定</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4卷</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1、产品规格：≥8cm×600cm。</w:t>
                  </w:r>
                </w:p>
                <w:p>
                  <w:pPr>
                    <w:pStyle w:val="null3"/>
                    <w:jc w:val="left"/>
                  </w:pPr>
                  <w:r>
                    <w:rPr>
                      <w:rFonts w:ascii="仿宋_GB2312" w:hAnsi="仿宋_GB2312" w:cs="仿宋_GB2312" w:eastAsia="仿宋_GB2312"/>
                      <w:sz w:val="20"/>
                    </w:rPr>
                    <w:t>2、性能结构：非弹性材料。</w:t>
                  </w:r>
                </w:p>
                <w:p>
                  <w:pPr>
                    <w:pStyle w:val="null3"/>
                    <w:jc w:val="left"/>
                  </w:pPr>
                  <w:r>
                    <w:rPr>
                      <w:rFonts w:ascii="仿宋_GB2312" w:hAnsi="仿宋_GB2312" w:cs="仿宋_GB2312" w:eastAsia="仿宋_GB2312"/>
                      <w:sz w:val="20"/>
                    </w:rPr>
                    <w:t>3、适用范围：用于对创面敷料或肢体提供束缚力，起到包扎、固定作用。</w:t>
                  </w:r>
                </w:p>
                <w:p>
                  <w:pPr>
                    <w:pStyle w:val="null3"/>
                    <w:jc w:val="left"/>
                  </w:pPr>
                  <w:r>
                    <w:rPr>
                      <w:rFonts w:ascii="仿宋_GB2312" w:hAnsi="仿宋_GB2312" w:cs="仿宋_GB2312" w:eastAsia="仿宋_GB2312"/>
                      <w:sz w:val="20"/>
                    </w:rPr>
                    <w:t>4、密封无菌独立包装（1卷/袋）提供。</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医用脱脂棉</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包扎</w:t>
                  </w:r>
                  <w:r>
                    <w:rPr>
                      <w:rFonts w:ascii="仿宋_GB2312" w:hAnsi="仿宋_GB2312" w:cs="仿宋_GB2312" w:eastAsia="仿宋_GB2312"/>
                      <w:sz w:val="20"/>
                    </w:rPr>
                    <w:t>/清理</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10袋</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1、产品规格：≥5g/袋。</w:t>
                  </w:r>
                </w:p>
                <w:p>
                  <w:pPr>
                    <w:pStyle w:val="null3"/>
                    <w:jc w:val="left"/>
                  </w:pPr>
                  <w:r>
                    <w:rPr>
                      <w:rFonts w:ascii="仿宋_GB2312" w:hAnsi="仿宋_GB2312" w:cs="仿宋_GB2312" w:eastAsia="仿宋_GB2312"/>
                      <w:sz w:val="20"/>
                    </w:rPr>
                    <w:t>2、适用范围：医用敷料，适用于各类手术及外伤的吸血、止血。</w:t>
                  </w:r>
                </w:p>
                <w:p>
                  <w:pPr>
                    <w:pStyle w:val="null3"/>
                    <w:jc w:val="left"/>
                  </w:pPr>
                  <w:r>
                    <w:rPr>
                      <w:rFonts w:ascii="仿宋_GB2312" w:hAnsi="仿宋_GB2312" w:cs="仿宋_GB2312" w:eastAsia="仿宋_GB2312"/>
                      <w:sz w:val="20"/>
                    </w:rPr>
                    <w:t>3、密封无菌独立包装提供。</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一次性使用医用棉签</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清洁</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1包</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1、材质：医用脱脂棉和经消毒的竹、木材料组成。</w:t>
                  </w:r>
                </w:p>
                <w:p>
                  <w:pPr>
                    <w:pStyle w:val="null3"/>
                    <w:jc w:val="left"/>
                  </w:pPr>
                  <w:r>
                    <w:rPr>
                      <w:rFonts w:ascii="仿宋_GB2312" w:hAnsi="仿宋_GB2312" w:cs="仿宋_GB2312" w:eastAsia="仿宋_GB2312"/>
                      <w:sz w:val="20"/>
                    </w:rPr>
                    <w:t>2、规格尺寸：长度100mm±10mm，50支/包。</w:t>
                  </w:r>
                </w:p>
                <w:p>
                  <w:pPr>
                    <w:pStyle w:val="null3"/>
                    <w:jc w:val="left"/>
                  </w:pPr>
                  <w:r>
                    <w:rPr>
                      <w:rFonts w:ascii="仿宋_GB2312" w:hAnsi="仿宋_GB2312" w:cs="仿宋_GB2312" w:eastAsia="仿宋_GB2312"/>
                      <w:sz w:val="20"/>
                    </w:rPr>
                    <w:t>3、密封无菌独立包装提供。</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创可贴</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止血</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1盒</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1、规格尺寸：72mm（±4mm）×20mm（±4mm）</w:t>
                  </w:r>
                </w:p>
                <w:p>
                  <w:pPr>
                    <w:pStyle w:val="null3"/>
                    <w:jc w:val="left"/>
                  </w:pPr>
                  <w:r>
                    <w:rPr>
                      <w:rFonts w:ascii="仿宋_GB2312" w:hAnsi="仿宋_GB2312" w:cs="仿宋_GB2312" w:eastAsia="仿宋_GB2312"/>
                      <w:sz w:val="20"/>
                    </w:rPr>
                    <w:t>2、100片/盒</w:t>
                  </w:r>
                </w:p>
                <w:p>
                  <w:pPr>
                    <w:pStyle w:val="null3"/>
                    <w:jc w:val="left"/>
                  </w:pPr>
                  <w:r>
                    <w:rPr>
                      <w:rFonts w:ascii="仿宋_GB2312" w:hAnsi="仿宋_GB2312" w:cs="仿宋_GB2312" w:eastAsia="仿宋_GB2312"/>
                      <w:sz w:val="20"/>
                    </w:rPr>
                    <w:t>3、符合药品生产标准或医疗器械生产标准</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医用胶布</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包扎</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5卷</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1、材质：采用无纺布、压敏胶制作而成</w:t>
                  </w:r>
                </w:p>
                <w:p>
                  <w:pPr>
                    <w:pStyle w:val="null3"/>
                    <w:jc w:val="left"/>
                  </w:pPr>
                  <w:r>
                    <w:rPr>
                      <w:rFonts w:ascii="仿宋_GB2312" w:hAnsi="仿宋_GB2312" w:cs="仿宋_GB2312" w:eastAsia="仿宋_GB2312"/>
                      <w:sz w:val="20"/>
                    </w:rPr>
                    <w:t>2、透气性好</w:t>
                  </w:r>
                </w:p>
                <w:p>
                  <w:pPr>
                    <w:pStyle w:val="null3"/>
                    <w:jc w:val="left"/>
                  </w:pPr>
                  <w:r>
                    <w:rPr>
                      <w:rFonts w:ascii="仿宋_GB2312" w:hAnsi="仿宋_GB2312" w:cs="仿宋_GB2312" w:eastAsia="仿宋_GB2312"/>
                      <w:sz w:val="20"/>
                    </w:rPr>
                    <w:t>3、尺寸：1.2cm*900cm±2%</w:t>
                  </w:r>
                </w:p>
                <w:p>
                  <w:pPr>
                    <w:pStyle w:val="null3"/>
                    <w:jc w:val="left"/>
                  </w:pPr>
                  <w:r>
                    <w:rPr>
                      <w:rFonts w:ascii="仿宋_GB2312" w:hAnsi="仿宋_GB2312" w:cs="仿宋_GB2312" w:eastAsia="仿宋_GB2312"/>
                      <w:sz w:val="20"/>
                    </w:rPr>
                    <w:t>4、密封独立包装提供，1卷/袋</w:t>
                  </w:r>
                </w:p>
              </w:tc>
              <w:tc>
                <w:tcPr>
                  <w:tcW w:type="dxa" w:w="173"/>
                  <w:vMerge/>
                  <w:tcBorders>
                    <w:top w:val="none" w:color="000000" w:sz="4"/>
                    <w:left w:val="none" w:color="000000" w:sz="4"/>
                    <w:bottom w:val="none" w:color="000000" w:sz="4"/>
                    <w:right w:val="single" w:color="000000" w:sz="4"/>
                  </w:tcBorders>
                </w:tcPr>
                <w:p/>
              </w:tc>
            </w:tr>
            <w:tr>
              <w:tc>
                <w:tcPr>
                  <w:tcW w:type="dxa" w:w="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93"/>
                  <w:vMerge/>
                  <w:tcBorders>
                    <w:top w:val="none" w:color="000000" w:sz="4"/>
                    <w:left w:val="none" w:color="000000" w:sz="4"/>
                    <w:bottom w:val="single" w:color="000000" w:sz="4"/>
                    <w:right w:val="single" w:color="000000" w:sz="4"/>
                  </w:tcBorders>
                </w:tcP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乳胶管</w:t>
                  </w:r>
                </w:p>
              </w:tc>
              <w:tc>
                <w:tcPr>
                  <w:tcW w:type="dxa" w:w="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用于止血带及其它连接管用</w:t>
                  </w:r>
                </w:p>
              </w:tc>
              <w:tc>
                <w:tcPr>
                  <w:tcW w:type="dxa" w:w="2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1根</w:t>
                  </w:r>
                </w:p>
              </w:tc>
              <w:tc>
                <w:tcPr>
                  <w:tcW w:type="dxa" w:w="1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1、规格尺寸：长度≥40cm; 内径≥5mm,外径</w:t>
                  </w:r>
                </w:p>
                <w:p>
                  <w:pPr>
                    <w:pStyle w:val="null3"/>
                    <w:jc w:val="left"/>
                  </w:pPr>
                  <w:r>
                    <w:rPr>
                      <w:rFonts w:ascii="仿宋_GB2312" w:hAnsi="仿宋_GB2312" w:cs="仿宋_GB2312" w:eastAsia="仿宋_GB2312"/>
                      <w:sz w:val="20"/>
                    </w:rPr>
                    <w:t>≥7mm。</w:t>
                  </w:r>
                </w:p>
                <w:p>
                  <w:pPr>
                    <w:pStyle w:val="null3"/>
                    <w:jc w:val="left"/>
                  </w:pPr>
                  <w:r>
                    <w:rPr>
                      <w:rFonts w:ascii="仿宋_GB2312" w:hAnsi="仿宋_GB2312" w:cs="仿宋_GB2312" w:eastAsia="仿宋_GB2312"/>
                      <w:sz w:val="20"/>
                    </w:rPr>
                    <w:t>2、材质：乳胶材质。</w:t>
                  </w:r>
                </w:p>
              </w:tc>
              <w:tc>
                <w:tcPr>
                  <w:tcW w:type="dxa" w:w="173"/>
                  <w:vMerge/>
                  <w:tcBorders>
                    <w:top w:val="none" w:color="000000" w:sz="4"/>
                    <w:left w:val="none" w:color="000000" w:sz="4"/>
                    <w:bottom w:val="none" w:color="000000" w:sz="4"/>
                    <w:right w:val="single" w:color="000000" w:sz="4"/>
                  </w:tcBorders>
                </w:tcPr>
                <w:p/>
              </w:tc>
            </w:tr>
            <w:tr>
              <w:tc>
                <w:tcPr>
                  <w:tcW w:type="dxa" w:w="23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配置清单：印刷信息清晰，裁切平整。所列信息清晰明了，无遗漏。</w:t>
                  </w:r>
                </w:p>
                <w:p>
                  <w:pPr>
                    <w:pStyle w:val="null3"/>
                    <w:jc w:val="left"/>
                  </w:pPr>
                  <w:r>
                    <w:rPr>
                      <w:rFonts w:ascii="仿宋_GB2312" w:hAnsi="仿宋_GB2312" w:cs="仿宋_GB2312" w:eastAsia="仿宋_GB2312"/>
                      <w:sz w:val="20"/>
                    </w:rPr>
                    <w:t>备注：出诊箱外观统一印刷</w:t>
                  </w:r>
                  <w:r>
                    <w:rPr>
                      <w:rFonts w:ascii="仿宋_GB2312" w:hAnsi="仿宋_GB2312" w:cs="仿宋_GB2312" w:eastAsia="仿宋_GB2312"/>
                      <w:sz w:val="20"/>
                    </w:rPr>
                    <w:t>“陕西省卫生健康委员会配发”标识。</w:t>
                  </w:r>
                </w:p>
              </w:tc>
            </w:tr>
            <w:tr>
              <w:tc>
                <w:tcPr>
                  <w:tcW w:type="dxa" w:w="231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备注：</w:t>
                  </w:r>
                  <w:r>
                    <w:rPr>
                      <w:rFonts w:ascii="仿宋_GB2312" w:hAnsi="仿宋_GB2312" w:cs="仿宋_GB2312" w:eastAsia="仿宋_GB2312"/>
                      <w:sz w:val="20"/>
                    </w:rPr>
                    <w:t>1、以上提供的产品属于医疗器械产品的应提供相应的医疗器械注册证或医疗器械备案证，其中（出诊箱、眼底手电、7号电池、铝针盒、小砂轮、大药瓶、小药瓶、酒精瓶、碘酒瓶、乳胶管）可不提供</w:t>
                  </w:r>
                  <w:r>
                    <w:rPr>
                      <w:rFonts w:ascii="仿宋_GB2312" w:hAnsi="仿宋_GB2312" w:cs="仿宋_GB2312" w:eastAsia="仿宋_GB2312"/>
                      <w:sz w:val="20"/>
                    </w:rPr>
                    <w:t>医疗器械注册证或医疗器械备案证。</w:t>
                  </w:r>
                </w:p>
                <w:p>
                  <w:pPr>
                    <w:pStyle w:val="null3"/>
                    <w:jc w:val="left"/>
                  </w:pPr>
                  <w:r>
                    <w:rPr>
                      <w:rFonts w:ascii="仿宋_GB2312" w:hAnsi="仿宋_GB2312" w:cs="仿宋_GB2312" w:eastAsia="仿宋_GB2312"/>
                      <w:sz w:val="20"/>
                    </w:rPr>
                    <w:t>2、“★”的参数需求为实质性要求，供应商必须响应并满足的参数需求，带“▲”号条款为允许负偏离的参数需求，若未响应或者不满足，将在综合评审中予以扣分处理</w:t>
                  </w:r>
                  <w:r>
                    <w:rPr>
                      <w:rFonts w:ascii="仿宋_GB2312" w:hAnsi="仿宋_GB2312" w:cs="仿宋_GB2312" w:eastAsia="仿宋_GB2312"/>
                      <w:sz w:val="2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采购货物全部送达到采购人指定地点并验收合格后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验收合格并投入使用12个月后，无质量问题</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出诊箱箱体提供3年质保；箱体内物品生产日期2个月以内，按照物品规定质保期执行，且提供线下培训。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 2、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646850882@qq.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4）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其他组织、自然人）直接参加投标只须提供法定代表人（其他组织、自然人）身份证复印件加盖公章，法定代表人授权他人参加的，需提供法定代表人委托授权书原件及被授权人身份证复印件加盖公章并提供被授权人提交投标文件截止时间前一年内任意一个月在本单位缴纳社保证明；</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供应商应根据《医疗器械经营监督管理办法》国家市场监督管理总局令第54号第四条规定，提供相应的《医疗器械经营许可证》或《医疗器械经营备案凭证》等证明材料；</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 人”、“重大税收违法案件当事人名单"中，也未列入中国政府采购网“政府采购严重违法失信行为记录名单"中，须提供《汉中市政府采购供应商资格承诺函》；</w:t>
            </w:r>
          </w:p>
        </w:tc>
        <w:tc>
          <w:tcPr>
            <w:tcW w:type="dxa" w:w="1661"/>
          </w:tcPr>
          <w:p>
            <w:pPr>
              <w:pStyle w:val="null3"/>
            </w:pPr>
            <w:r>
              <w:rPr>
                <w:rFonts w:ascii="仿宋_GB2312" w:hAnsi="仿宋_GB2312" w:cs="仿宋_GB2312" w:eastAsia="仿宋_GB2312"/>
              </w:rPr>
              <w:t>4投标人资格证明文件.docx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4投标人资格证明文件.docx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1分项价格表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符合性审查内容</w:t>
            </w:r>
          </w:p>
        </w:tc>
        <w:tc>
          <w:tcPr>
            <w:tcW w:type="dxa" w:w="3322"/>
          </w:tcPr>
          <w:p>
            <w:pPr>
              <w:pStyle w:val="null3"/>
            </w:pPr>
            <w:r>
              <w:rPr>
                <w:rFonts w:ascii="仿宋_GB2312" w:hAnsi="仿宋_GB2312" w:cs="仿宋_GB2312" w:eastAsia="仿宋_GB2312"/>
              </w:rPr>
              <w:t>有下列情形之一的，应在符合性审查时按照无效投标处理：(1)投标文件未按照招标文件规定要求签署、盖章的；(2)不满足本招标文件中：交货时间、交货地点、采购资金的支付方式及约定、第三章3.4.7条、实质性条款要求的；(3)投标有效期不足的或无有效期的；(4)报价超过招标文件中规定的预算金额或最高限价的； (5)法律、法规和招标文件规定的其他无效情形。</w:t>
            </w:r>
          </w:p>
        </w:tc>
        <w:tc>
          <w:tcPr>
            <w:tcW w:type="dxa" w:w="1661"/>
          </w:tcPr>
          <w:p>
            <w:pPr>
              <w:pStyle w:val="null3"/>
            </w:pPr>
            <w:r>
              <w:rPr>
                <w:rFonts w:ascii="仿宋_GB2312" w:hAnsi="仿宋_GB2312" w:cs="仿宋_GB2312" w:eastAsia="仿宋_GB2312"/>
              </w:rPr>
              <w:t>开标一览表 1分项价格表 2技术参数偏离表 中小企业声明函 9节能环保 8业绩 5供货渠道 6备货供货计划 7物流方案 投标函 3商务偏离表 残疾人福利性单位声明函 10其他资料 标的清单 4投标人资格证明文件.docx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详细评审70.0000分</w:t>
            </w:r>
          </w:p>
          <w:p>
            <w:pPr>
              <w:pStyle w:val="null3"/>
            </w:pPr>
            <w:r>
              <w:rPr>
                <w:rFonts w:ascii="仿宋_GB2312" w:hAnsi="仿宋_GB2312" w:cs="仿宋_GB2312" w:eastAsia="仿宋_GB2312"/>
              </w:rPr>
              <w:t>报价得分30.0000分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1、完全符合、响应招标文件技术参数要求，没有负偏离计30分； 2、技术要求中未标注▲符号的技术指标及产品功能，任何一项低于招标要求或不具备，扣 2 分，不计负分； 3.技术要求中标注▲符号的技术指标及产品功能，任何一项低于招标要求或不具备，扣 3 分，不计负分。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1分项价格表</w:t>
            </w:r>
          </w:p>
          <w:p>
            <w:pPr>
              <w:pStyle w:val="null3"/>
            </w:pPr>
            <w:r>
              <w:rPr>
                <w:rFonts w:ascii="仿宋_GB2312" w:hAnsi="仿宋_GB2312" w:cs="仿宋_GB2312" w:eastAsia="仿宋_GB2312"/>
              </w:rPr>
              <w:t>2技术参数偏离表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提供所投产品合法来源渠道证明文件（不限于销售协议或代理协议或原厂授权等），证明材料完整，链条清晰计5分，未提供不计分。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5供货渠道</w:t>
            </w:r>
          </w:p>
        </w:tc>
      </w:tr>
      <w:tr>
        <w:tc>
          <w:tcPr>
            <w:tcW w:type="dxa" w:w="831"/>
            <w:vMerge/>
          </w:tcPr>
          <w:p/>
        </w:tc>
        <w:tc>
          <w:tcPr>
            <w:tcW w:type="dxa" w:w="1661"/>
          </w:tcPr>
          <w:p>
            <w:pPr>
              <w:pStyle w:val="null3"/>
            </w:pPr>
            <w:r>
              <w:rPr>
                <w:rFonts w:ascii="仿宋_GB2312" w:hAnsi="仿宋_GB2312" w:cs="仿宋_GB2312" w:eastAsia="仿宋_GB2312"/>
              </w:rPr>
              <w:t>备货供货计划</w:t>
            </w:r>
          </w:p>
        </w:tc>
        <w:tc>
          <w:tcPr>
            <w:tcW w:type="dxa" w:w="2492"/>
          </w:tcPr>
          <w:p>
            <w:pPr>
              <w:pStyle w:val="null3"/>
            </w:pPr>
            <w:r>
              <w:rPr>
                <w:rFonts w:ascii="仿宋_GB2312" w:hAnsi="仿宋_GB2312" w:cs="仿宋_GB2312" w:eastAsia="仿宋_GB2312"/>
              </w:rPr>
              <w:t>采购计划完整性6分 1、采购合同（包含合同编号、标的物清单、价格条款、付款方式、违约责任等关键条款，本项共计3分，缺失上述核心条款任意一项不得分 ） 2、到货周期（ 明确各产品预计到货时间、运输方式、物流节点计划， 未标注到货时间扣2分；未说明运输方式扣1分；无物流节点计划扣1分 ）</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6备货供货计划</w:t>
            </w:r>
          </w:p>
        </w:tc>
      </w:tr>
      <w:tr>
        <w:tc>
          <w:tcPr>
            <w:tcW w:type="dxa" w:w="831"/>
            <w:vMerge/>
          </w:tcPr>
          <w:p/>
        </w:tc>
        <w:tc>
          <w:tcPr>
            <w:tcW w:type="dxa" w:w="1661"/>
          </w:tcPr>
          <w:p>
            <w:pPr>
              <w:pStyle w:val="null3"/>
            </w:pPr>
            <w:r>
              <w:rPr>
                <w:rFonts w:ascii="仿宋_GB2312" w:hAnsi="仿宋_GB2312" w:cs="仿宋_GB2312" w:eastAsia="仿宋_GB2312"/>
              </w:rPr>
              <w:t>物流方案</w:t>
            </w:r>
          </w:p>
        </w:tc>
        <w:tc>
          <w:tcPr>
            <w:tcW w:type="dxa" w:w="2492"/>
          </w:tcPr>
          <w:p>
            <w:pPr>
              <w:pStyle w:val="null3"/>
            </w:pPr>
            <w:r>
              <w:rPr>
                <w:rFonts w:ascii="仿宋_GB2312" w:hAnsi="仿宋_GB2312" w:cs="仿宋_GB2312" w:eastAsia="仿宋_GB2312"/>
              </w:rPr>
              <w:t>有成熟物流团队或稳定合作物流商，提供物流方案、配送网络覆盖项目需求区域得5分，物流团队不成熟或没有稳定合作物流商，提供物流方案、配送网络没有覆盖项目需求区域不得分；承诺配送时效短且能提供过往按时交付记录得3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7物流方案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具备突发应急需求响应预案（包含应急目标、组织架构、处置流程、资源调配、后期恢复、建立内部应急联络表等核心要素。无预案或者预案缺失核心要素中任意一项不得分。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10其他资料</w:t>
            </w:r>
          </w:p>
        </w:tc>
      </w:tr>
      <w:tr>
        <w:tc>
          <w:tcPr>
            <w:tcW w:type="dxa" w:w="831"/>
            <w:vMerge/>
          </w:tcPr>
          <w:p/>
        </w:tc>
        <w:tc>
          <w:tcPr>
            <w:tcW w:type="dxa" w:w="1661"/>
          </w:tcPr>
          <w:p>
            <w:pPr>
              <w:pStyle w:val="null3"/>
            </w:pPr>
            <w:r>
              <w:rPr>
                <w:rFonts w:ascii="仿宋_GB2312" w:hAnsi="仿宋_GB2312" w:cs="仿宋_GB2312" w:eastAsia="仿宋_GB2312"/>
              </w:rPr>
              <w:t>技术培训服务</w:t>
            </w:r>
          </w:p>
        </w:tc>
        <w:tc>
          <w:tcPr>
            <w:tcW w:type="dxa" w:w="2492"/>
          </w:tcPr>
          <w:p>
            <w:pPr>
              <w:pStyle w:val="null3"/>
            </w:pPr>
            <w:r>
              <w:rPr>
                <w:rFonts w:ascii="仿宋_GB2312" w:hAnsi="仿宋_GB2312" w:cs="仿宋_GB2312" w:eastAsia="仿宋_GB2312"/>
              </w:rPr>
              <w:t>承诺能够提供系统专业的技术培训，培训方案足够细化、量化，可操作性强的得2分，未提供或不具备操作性的不得分。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10其他资料</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供应商承诺在1小时内响应，在接到通知6小时内到现场的得3分，不满足不得分。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10其他资料</w:t>
            </w:r>
          </w:p>
        </w:tc>
      </w:tr>
      <w:tr>
        <w:tc>
          <w:tcPr>
            <w:tcW w:type="dxa" w:w="831"/>
            <w:vMerge/>
          </w:tcPr>
          <w:p/>
        </w:tc>
        <w:tc>
          <w:tcPr>
            <w:tcW w:type="dxa" w:w="1661"/>
          </w:tcPr>
          <w:p>
            <w:pPr>
              <w:pStyle w:val="null3"/>
            </w:pPr>
            <w:r>
              <w:rPr>
                <w:rFonts w:ascii="仿宋_GB2312" w:hAnsi="仿宋_GB2312" w:cs="仿宋_GB2312" w:eastAsia="仿宋_GB2312"/>
              </w:rPr>
              <w:t>售后服务方案和维修力量</w:t>
            </w:r>
          </w:p>
        </w:tc>
        <w:tc>
          <w:tcPr>
            <w:tcW w:type="dxa" w:w="2492"/>
          </w:tcPr>
          <w:p>
            <w:pPr>
              <w:pStyle w:val="null3"/>
            </w:pPr>
            <w:r>
              <w:rPr>
                <w:rFonts w:ascii="仿宋_GB2312" w:hAnsi="仿宋_GB2312" w:cs="仿宋_GB2312" w:eastAsia="仿宋_GB2312"/>
              </w:rPr>
              <w:t>整体的售后服务方案完善具体，服务方案中提供了明确的验收或考核指标的，得4分；能够提供专业的维修团队的得1分；承诺产品故障12小时内能更换或提供备品的得2分；售后服务方案完善不够具体详尽，不能提供专业的维修团队的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10其他资料</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供应商在满足招标文件基本要求的情况下，承诺质保期年限每增加一年得1分，最多得2分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10其他资料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提供供应商2021年1月1日至今同类项目合同，每提供1个得1分，最高得5分。（以合同签订日期为准） 备注：投标文件中提供合同复印件加盖公章。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注：1、计算分数时四舍五入取小数点后两位； 2、落实采购政策：详见价格扣除。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1分项价格表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1分项价格表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w:t>
      </w:r>
    </w:p>
    <w:p>
      <w:pPr>
        <w:pStyle w:val="null3"/>
        <w:ind w:firstLine="960"/>
      </w:pPr>
      <w:r>
        <w:rPr>
          <w:rFonts w:ascii="仿宋_GB2312" w:hAnsi="仿宋_GB2312" w:cs="仿宋_GB2312" w:eastAsia="仿宋_GB2312"/>
        </w:rPr>
        <w:t>详见附件：2技术参数偏离表</w:t>
      </w:r>
    </w:p>
    <w:p>
      <w:pPr>
        <w:pStyle w:val="null3"/>
        <w:ind w:firstLine="960"/>
      </w:pPr>
      <w:r>
        <w:rPr>
          <w:rFonts w:ascii="仿宋_GB2312" w:hAnsi="仿宋_GB2312" w:cs="仿宋_GB2312" w:eastAsia="仿宋_GB2312"/>
        </w:rPr>
        <w:t>详见附件：3商务偏离表</w:t>
      </w:r>
    </w:p>
    <w:p>
      <w:pPr>
        <w:pStyle w:val="null3"/>
        <w:ind w:firstLine="960"/>
      </w:pPr>
      <w:r>
        <w:rPr>
          <w:rFonts w:ascii="仿宋_GB2312" w:hAnsi="仿宋_GB2312" w:cs="仿宋_GB2312" w:eastAsia="仿宋_GB2312"/>
        </w:rPr>
        <w:t>详见附件：4投标人资格证明文件.docx</w:t>
      </w:r>
    </w:p>
    <w:p>
      <w:pPr>
        <w:pStyle w:val="null3"/>
        <w:ind w:firstLine="960"/>
      </w:pPr>
      <w:r>
        <w:rPr>
          <w:rFonts w:ascii="仿宋_GB2312" w:hAnsi="仿宋_GB2312" w:cs="仿宋_GB2312" w:eastAsia="仿宋_GB2312"/>
        </w:rPr>
        <w:t>详见附件：5供货渠道</w:t>
      </w:r>
    </w:p>
    <w:p>
      <w:pPr>
        <w:pStyle w:val="null3"/>
        <w:ind w:firstLine="960"/>
      </w:pPr>
      <w:r>
        <w:rPr>
          <w:rFonts w:ascii="仿宋_GB2312" w:hAnsi="仿宋_GB2312" w:cs="仿宋_GB2312" w:eastAsia="仿宋_GB2312"/>
        </w:rPr>
        <w:t>详见附件：6备货供货计划</w:t>
      </w:r>
    </w:p>
    <w:p>
      <w:pPr>
        <w:pStyle w:val="null3"/>
        <w:ind w:firstLine="960"/>
      </w:pPr>
      <w:r>
        <w:rPr>
          <w:rFonts w:ascii="仿宋_GB2312" w:hAnsi="仿宋_GB2312" w:cs="仿宋_GB2312" w:eastAsia="仿宋_GB2312"/>
        </w:rPr>
        <w:t>详见附件：7物流方案</w:t>
      </w:r>
    </w:p>
    <w:p>
      <w:pPr>
        <w:pStyle w:val="null3"/>
        <w:ind w:firstLine="960"/>
      </w:pPr>
      <w:r>
        <w:rPr>
          <w:rFonts w:ascii="仿宋_GB2312" w:hAnsi="仿宋_GB2312" w:cs="仿宋_GB2312" w:eastAsia="仿宋_GB2312"/>
        </w:rPr>
        <w:t>详见附件：8业绩</w:t>
      </w:r>
    </w:p>
    <w:p>
      <w:pPr>
        <w:pStyle w:val="null3"/>
        <w:ind w:firstLine="960"/>
      </w:pPr>
      <w:r>
        <w:rPr>
          <w:rFonts w:ascii="仿宋_GB2312" w:hAnsi="仿宋_GB2312" w:cs="仿宋_GB2312" w:eastAsia="仿宋_GB2312"/>
        </w:rPr>
        <w:t>详见附件：9节能环保</w:t>
      </w:r>
    </w:p>
    <w:p>
      <w:pPr>
        <w:pStyle w:val="null3"/>
        <w:ind w:firstLine="960"/>
      </w:pPr>
      <w:r>
        <w:rPr>
          <w:rFonts w:ascii="仿宋_GB2312" w:hAnsi="仿宋_GB2312" w:cs="仿宋_GB2312" w:eastAsia="仿宋_GB2312"/>
        </w:rPr>
        <w:t>详见附件：10其他资料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详见附件：12 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