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版本号：XHHZ-ZC25000120250427001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留坝县马道镇马道街村垃圾填埋场封场治理项目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XHHZ-ZC250001</w:t>
      </w:r>
      <w:r>
        <w:br/>
      </w:r>
      <w:r>
        <w:br/>
      </w:r>
      <w:r>
        <w:br/>
      </w:r>
    </w:p>
    <w:p>
      <w:pPr>
        <w:pStyle w:val="null3"/>
        <w:jc w:val="center"/>
        <w:outlineLvl w:val="2"/>
      </w:pPr>
      <w:r>
        <w:rPr>
          <w:rFonts w:ascii="仿宋_GB2312" w:hAnsi="仿宋_GB2312" w:cs="仿宋_GB2312" w:eastAsia="仿宋_GB2312"/>
          <w:sz w:val="28"/>
          <w:b/>
        </w:rPr>
        <w:t>汉中市生态环境局留坝分局</w:t>
      </w:r>
    </w:p>
    <w:p>
      <w:pPr>
        <w:pStyle w:val="null3"/>
        <w:jc w:val="center"/>
        <w:outlineLvl w:val="2"/>
      </w:pPr>
      <w:r>
        <w:rPr>
          <w:rFonts w:ascii="仿宋_GB2312" w:hAnsi="仿宋_GB2312" w:cs="仿宋_GB2312" w:eastAsia="仿宋_GB2312"/>
          <w:sz w:val="28"/>
          <w:b/>
        </w:rPr>
        <w:t>信宏工程咨询有限公司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汉中市生态环境局留坝分局</w:t>
      </w:r>
      <w:r>
        <w:rPr>
          <w:rFonts w:ascii="仿宋_GB2312" w:hAnsi="仿宋_GB2312" w:cs="仿宋_GB2312" w:eastAsia="仿宋_GB2312"/>
        </w:rPr>
        <w:t>委托，拟对</w:t>
      </w:r>
      <w:r>
        <w:rPr>
          <w:rFonts w:ascii="仿宋_GB2312" w:hAnsi="仿宋_GB2312" w:cs="仿宋_GB2312" w:eastAsia="仿宋_GB2312"/>
        </w:rPr>
        <w:t>留坝县马道镇马道街村垃圾填埋场封场治理项目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XHHZ-ZC250001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留坝县马道镇马道街村垃圾填埋场封场治理项目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重建8米高、38米长坝体1处；新建73米截水沟和32米截洪沟；铺设400m²土工布和300m²防渗膜修复系统；实施1980m²封场绿化工程；建设4个位移观测点、2个基准点和2个地下水监测井。控制污染扩散，改善项目区生态环境，增加绿地面积，促进生态系统的平衡和稳定；确保设施长期稳定安全，污染物的产生和排放达到国家和地方相关标准，减少对生态环境的危害。严格遵守国家和地方相关标准和政策要求，合理控制项目建设成本，工程质量合格。</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采购包1（留坝县马道镇马道街村垃圾填埋场封场治理项目）：属于专门面向中小企业采购。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或授权代表要求：法定代表人参加投标须提供《法定代表人身份证明》及身份证复印件；法定代表人授权他人参加投标，须提供《法定代表人授权委托书》及委托代理人身份证复印件。（提供加盖投标供应商公章的法定代表人身份证明原件和其身份证复印件或法定代表人授权委托书原件及被授权人身份证复印件）。</w:t>
      </w:r>
    </w:p>
    <w:p>
      <w:pPr>
        <w:pStyle w:val="null3"/>
      </w:pPr>
      <w:r>
        <w:rPr>
          <w:rFonts w:ascii="仿宋_GB2312" w:hAnsi="仿宋_GB2312" w:cs="仿宋_GB2312" w:eastAsia="仿宋_GB2312"/>
        </w:rPr>
        <w:t>3、供应商须具备资质：供应商须具备建设行政主管部门核发的【市政公用工程施工总承包】三级及以上资质，并具有安全生产许可证且在有效期内。</w:t>
      </w:r>
    </w:p>
    <w:p>
      <w:pPr>
        <w:pStyle w:val="null3"/>
      </w:pPr>
      <w:r>
        <w:rPr>
          <w:rFonts w:ascii="仿宋_GB2312" w:hAnsi="仿宋_GB2312" w:cs="仿宋_GB2312" w:eastAsia="仿宋_GB2312"/>
        </w:rPr>
        <w:t>4、拟派项目负责人资质和专业要求:：拟派项目经理须具备【市政公用工程专业】注册建造师二级及以上执业资格和安全生产考核合格B证，在本单位注册且无不良信用、无在建工程。</w:t>
      </w:r>
    </w:p>
    <w:p>
      <w:pPr>
        <w:pStyle w:val="null3"/>
      </w:pPr>
      <w:r>
        <w:rPr>
          <w:rFonts w:ascii="仿宋_GB2312" w:hAnsi="仿宋_GB2312" w:cs="仿宋_GB2312" w:eastAsia="仿宋_GB2312"/>
        </w:rPr>
        <w:t>5、供应商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拟参与本项目磋商响应的供应商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6、控股、管理关系：单位负责人为同一人或者存在直接控股、管理关系的不同供应商（承包商），不得同时参加本项目的投标。</w:t>
      </w:r>
    </w:p>
    <w:p>
      <w:pPr>
        <w:pStyle w:val="null3"/>
      </w:pPr>
      <w:r>
        <w:rPr>
          <w:rFonts w:ascii="仿宋_GB2312" w:hAnsi="仿宋_GB2312" w:cs="仿宋_GB2312" w:eastAsia="仿宋_GB2312"/>
        </w:rPr>
        <w:t>7、非联合体投标声明：本项目不接受联合体投标,不得转包、不得再次分包（须提供声明函）。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汉中市生态环境局留坝分局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汉中市留坝县紫柏街道办司法路6号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0916-3928628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汉中市汉台区东关街道办事处北团结街华建新城办公楼6楼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杨晨晨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0916-8818697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采购包1：794,728.21元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汉中市生态环境局留坝分局</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汉中市生态环境局留坝分局</w:t>
      </w:r>
      <w:r>
        <w:rPr>
          <w:rFonts w:ascii="仿宋_GB2312" w:hAnsi="仿宋_GB2312" w:cs="仿宋_GB2312" w:eastAsia="仿宋_GB2312"/>
        </w:rPr>
        <w:t>负责解释。除上述磋商文件内容，其他内容由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汉中市生态环境局留坝分局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信宏工程咨询有限公司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联系人：杨晨晨</w:t>
      </w:r>
    </w:p>
    <w:p>
      <w:pPr>
        <w:pStyle w:val="null3"/>
      </w:pPr>
      <w:r>
        <w:rPr>
          <w:rFonts w:ascii="仿宋_GB2312" w:hAnsi="仿宋_GB2312" w:cs="仿宋_GB2312" w:eastAsia="仿宋_GB2312"/>
        </w:rPr>
        <w:t>联系电话：0916-8818697</w:t>
      </w:r>
    </w:p>
    <w:p>
      <w:pPr>
        <w:pStyle w:val="null3"/>
      </w:pPr>
      <w:r>
        <w:rPr>
          <w:rFonts w:ascii="仿宋_GB2312" w:hAnsi="仿宋_GB2312" w:cs="仿宋_GB2312" w:eastAsia="仿宋_GB2312"/>
        </w:rPr>
        <w:t>地址：汉中市汉台区东关街道办事处北团结街华建新城办公楼6楼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794,728.21</w:t>
      </w:r>
    </w:p>
    <w:p>
      <w:pPr>
        <w:pStyle w:val="null3"/>
      </w:pPr>
      <w:r>
        <w:rPr>
          <w:rFonts w:ascii="仿宋_GB2312" w:hAnsi="仿宋_GB2312" w:cs="仿宋_GB2312" w:eastAsia="仿宋_GB2312"/>
        </w:rPr>
        <w:t>采购包最高限价（元）: 794,728.21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794,728.21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本次采购落实政府采购政策：（1）《国务院办公厅关于建立政府强制采购节能产品制度的通知》（国办发〔2007〕51号）；（2）《财政部 司法部关于政府采购支持监狱企业发展有关问题的通知》（财库〔2014〕68号）；（3）《财政部、民政部、中国残疾人联合会关于促进残疾人就业政府采购政策的通知》（财库〔2017〕141号）；（4）《财政部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lt;陕西省中小企业政府采购信用融资办法&gt;的通知》（陕财办采〔2018〕23 号； （8）陕西省财政厅《关于加快推进我省中小企业政府采购信用融资工作的通知》（陕财办采〔2020〕15号）；（9）陕西省财政厅《关于进一步加强政府绿色采购有关问题的通知》（陕财办采〔2021〕29号）；（10）《陕西省财政厅关于落实政府采购支持中小企业政策有关事项的通知》陕财办采函〔2022〕10号；（11）《关于进一步加大政府采购支持中小企业力度的通知》（财库〔2022〕19号；（12）《关于扩大政府采购支持绿色建材促进建筑品质提升政策实施范围的通知》财库〔2022〕35号；（13）《陕西省财政厅关于进一步落实政府采购支持中小企业相关政策的通知》陕财办采〔2023〕3号；（14）《陕西省财政厅关于进一步优化政府采购营商环境有关事项的通知》陕财办采〔2023〕4号；（15）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年或2024年度经审计的财务报告（包含审计报告和审计报告中所涉及的财务报表和报表附注），②可提供2023年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法定代表人或授权代表要求</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及委托代理人身份证复印件。（提供加盖投标供应商公章的法定代表人身份证明原件和其身份证复印件或法定代表人授权委托书原件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供应商须具备资质</w:t>
            </w:r>
          </w:p>
        </w:tc>
        <w:tc>
          <w:tcPr>
            <w:tcW w:type="dxa" w:w="3322"/>
          </w:tcPr>
          <w:p>
            <w:pPr>
              <w:pStyle w:val="null3"/>
            </w:pPr>
            <w:r>
              <w:rPr>
                <w:rFonts w:ascii="仿宋_GB2312" w:hAnsi="仿宋_GB2312" w:cs="仿宋_GB2312" w:eastAsia="仿宋_GB2312"/>
              </w:rPr>
              <w:t>供应商须具备建设行政主管部门核发的【市政公用工程施工总承包】三级及以上资质，并具有安全生产许可证且在有效期内。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拟派项目经理须具备【市政公用工程专业】注册建造师二级及以上执业资格和安全生产考核合格B证，在本单位注册且无不良信用、无在建工程。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拟参与本项目磋商响应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《汉中市政府采购供应商资格承诺函》格式.docx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单位负责人为同一人或者存在直接控股、管理关系的不同供应商（承包商），不得同时参加本项目的投标。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本项目不接受联合体投标,不得转包、不得再次分包（须提供声明函）。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磋商小组根据供应商响应文件中针对本项目具有完善的项目管理方案，整个项目的实施施工方案等，进行横向比较赋分。1、方案全面、科学合理、规范，可行性强，得7.1-10分；2、方案合理、规范，具有一定实施性，得4.1-7分；3、方案简略，可行性欠佳，得1-4分；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磋商小组根据供应商响应文件中针对本项目质量保证措施、管理体系的规划及合理性、可操作性进行横向比较赋分。1、方案全面、科学合理、规范，可行性强，得7.1-10分；2、方案合理、规范，具有一定实施性，得4.1-7分；3、方案简略，可行性欠佳，得1-4分；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施工安全措施及保护措施</w:t>
            </w:r>
          </w:p>
        </w:tc>
        <w:tc>
          <w:tcPr>
            <w:tcW w:type="dxa" w:w="2492"/>
          </w:tcPr>
          <w:p>
            <w:pPr>
              <w:pStyle w:val="null3"/>
            </w:pPr>
            <w:r>
              <w:rPr>
                <w:rFonts w:ascii="仿宋_GB2312" w:hAnsi="仿宋_GB2312" w:cs="仿宋_GB2312" w:eastAsia="仿宋_GB2312"/>
              </w:rPr>
              <w:t>磋商小组根据供应商响应文件中针对本项目施工安全措施及保护措施、管理体系的规划及合理性、可操作性进行横向比较赋分。1、方案全面、科学合理、规范，可行性强，得7.1-10分；2、方案合理、规范，具有一定实施性，得4.1-7分；3、方案简略，可行性欠佳，得1-4分；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工期的规划及合理性</w:t>
            </w:r>
          </w:p>
        </w:tc>
        <w:tc>
          <w:tcPr>
            <w:tcW w:type="dxa" w:w="2492"/>
          </w:tcPr>
          <w:p>
            <w:pPr>
              <w:pStyle w:val="null3"/>
            </w:pPr>
            <w:r>
              <w:rPr>
                <w:rFonts w:ascii="仿宋_GB2312" w:hAnsi="仿宋_GB2312" w:cs="仿宋_GB2312" w:eastAsia="仿宋_GB2312"/>
              </w:rPr>
              <w:t>磋商小组根据供应商响应文件中针对本项目工期的规划及合理性、可操作性进行横向比较赋分。1、方案全面、科学合理、规范，可行性强，得7.1-10分；2、方案合理、规范，具有一定实施性，得4.1-7分；3、方案简略，可行性欠佳，得1-4分；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针对本项目制定详细的应急处理措施。1、方案全面、科学合理、规范，可行性强，得7.1-10分；2、方案合理、规范，具有一定实施性，得4.1-7分；3、方案简略，可行性欠佳，得1-4分；4、不提供不得分。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供应商人员配备齐全，人员配备一般由项目技术负责人、施工员、质量员、安全 员、材料员等人员组成公司人员每提供一个得1分，不提供不得分，满分5分。（计0-5分）（提供人员身份证、缴纳社保证明、毕业证、职称等证、资格证书等）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2022年1月-至今完成的类似项目业绩，每提供一份得2.5分，此项最高得5分；（计0-5分）注：业绩须是供应商完成的类似项目业绩，以成交（中标）通知书或合同或协议书为准（在磋商文件相应部分提供证明文件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质量保修和服务承诺</w:t>
            </w:r>
          </w:p>
        </w:tc>
        <w:tc>
          <w:tcPr>
            <w:tcW w:type="dxa" w:w="2492"/>
          </w:tcPr>
          <w:p>
            <w:pPr>
              <w:pStyle w:val="null3"/>
            </w:pPr>
            <w:r>
              <w:rPr>
                <w:rFonts w:ascii="仿宋_GB2312" w:hAnsi="仿宋_GB2312" w:cs="仿宋_GB2312" w:eastAsia="仿宋_GB2312"/>
              </w:rPr>
              <w:t>磋商小组根据响应文件有针对本项目的切实可行的质量保修和服务承诺，评审小组酌情给1-10分；1、方案全面、科学合理、规范，可行性强，得7.1-10分；2、方案合理、规范，具有一定实施性，得4.1-7分；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 磋商报价得分=（磋商基准价/磋商报价）×价格权值（即30%）×100 注：1、磋商小组三分之二以上成员认为某报价有低于成本价嫌疑的，涉嫌不正当竞争的，为无效报价；2、本项目为专门面向中小企业,不再执行价格评审优惠的扶持政策。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详见附件：工程类 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