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版本号：汉采HW[2025]4号20250408001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2025年艾滋病检测试剂采购项目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汉采HW[2025]4号</w:t>
      </w:r>
      <w:r>
        <w:br/>
      </w:r>
      <w:r>
        <w:br/>
      </w:r>
      <w:r>
        <w:br/>
      </w:r>
      <w:r>
        <w:br/>
      </w:r>
      <w:r>
        <w:br/>
      </w:r>
    </w:p>
    <w:p>
      <w:pPr>
        <w:pStyle w:val="null3"/>
        <w:jc w:val="center"/>
        <w:outlineLvl w:val="5"/>
      </w:pPr>
      <w:r>
        <w:rPr>
          <w:rFonts w:ascii="仿宋_GB2312" w:hAnsi="仿宋_GB2312" w:cs="仿宋_GB2312" w:eastAsia="仿宋_GB2312"/>
          <w:sz w:val="15"/>
          <w:b/>
        </w:rPr>
        <w:t>汉中市疾病预防控制中心</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汉中市疾病预防控制中心</w:t>
      </w:r>
      <w:r>
        <w:rPr>
          <w:rFonts w:ascii="仿宋_GB2312" w:hAnsi="仿宋_GB2312" w:cs="仿宋_GB2312" w:eastAsia="仿宋_GB2312"/>
        </w:rPr>
        <w:t>委托，拟对</w:t>
      </w:r>
      <w:r>
        <w:rPr>
          <w:rFonts w:ascii="仿宋_GB2312" w:hAnsi="仿宋_GB2312" w:cs="仿宋_GB2312" w:eastAsia="仿宋_GB2312"/>
        </w:rPr>
        <w:t>2025年艾滋病检测试剂采购项目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汉采HW[2025]4号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2025年艾滋病检测试剂采购项目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开展HIV病毒载量、HIV抗体确证检测。采购试剂与市疾控当前使用的检验检测设备匹配。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 位法人证书/专业服务机构执业许可证/民办非企 业单位登记证书。</w:t>
      </w:r>
    </w:p>
    <w:p>
      <w:pPr>
        <w:pStyle w:val="null3"/>
      </w:pPr>
      <w:r>
        <w:rPr>
          <w:rFonts w:ascii="仿宋_GB2312" w:hAnsi="仿宋_GB2312" w:cs="仿宋_GB2312" w:eastAsia="仿宋_GB2312"/>
        </w:rPr>
        <w:t>2、法定代表人授权委托书：法定代表人参加招标的，须提供本人身份证复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p>
      <w:pPr>
        <w:pStyle w:val="null3"/>
      </w:pPr>
      <w:r>
        <w:rPr>
          <w:rFonts w:ascii="仿宋_GB2312" w:hAnsi="仿宋_GB2312" w:cs="仿宋_GB2312" w:eastAsia="仿宋_GB2312"/>
        </w:rPr>
        <w:t>3、资格承诺函：提供《汉中市政府采购供应商资格承诺函》。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汉中市天汉大道953号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2235570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采购包1：1,330,000.00元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汉中市疾病预防控制中心</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汉中市疾病预防控制中心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陕西省2025年艾滋病防治工作要求，为全面完成艾滋病各项防治任务和指标，需配套采购HIV病毒载量检测试剂（适用罗氏4800病载仪）、HIV抗体确证试剂（适用MP蛋白印迹仪）、流式细胞仪清洗液及鞘液（适用唯公流式细胞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1,330,000.00</w:t>
      </w:r>
    </w:p>
    <w:p>
      <w:pPr>
        <w:pStyle w:val="null3"/>
      </w:pPr>
      <w:r>
        <w:rPr>
          <w:rFonts w:ascii="仿宋_GB2312" w:hAnsi="仿宋_GB2312" w:cs="仿宋_GB2312" w:eastAsia="仿宋_GB2312"/>
        </w:rPr>
        <w:t>采购包最高限价（元）: 1,330,000.00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HIV病毒载量检测试剂2640人份、HIV抗体确证试剂360人份和流式细胞仪清洗液10升、鞘液30升。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标的名称：HIV病毒载量检测试剂2640人份、HIV抗体确证试剂360人份和流式细胞仪清洗液10升、鞘液30升。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配套罗氏cobas HIV病毒载量检测试剂参数</w:t>
            </w:r>
          </w:p>
        </w:tc>
        <w:tc>
          <w:tcPr>
            <w:tcW w:type="dxa" w:w="2076"/>
          </w:tcPr>
          <w:p>
            <w:pPr>
              <w:pStyle w:val="null3"/>
              <w:numPr>
                <w:ilvl w:val="0"/>
                <w:numId w:val="1"/>
              </w:numPr>
              <w:jc w:val="both"/>
            </w:pPr>
            <w:r>
              <w:rPr>
                <w:rFonts w:ascii="仿宋_GB2312" w:hAnsi="仿宋_GB2312" w:cs="仿宋_GB2312" w:eastAsia="仿宋_GB2312"/>
                <w:sz w:val="28"/>
              </w:rPr>
              <w:t>规格：120人份/盒</w:t>
            </w:r>
          </w:p>
          <w:p>
            <w:pPr>
              <w:pStyle w:val="null3"/>
              <w:numPr>
                <w:ilvl w:val="0"/>
                <w:numId w:val="1"/>
              </w:numPr>
              <w:jc w:val="both"/>
            </w:pPr>
            <w:r>
              <w:rPr>
                <w:rFonts w:ascii="仿宋_GB2312" w:hAnsi="仿宋_GB2312" w:cs="仿宋_GB2312" w:eastAsia="仿宋_GB2312"/>
                <w:sz w:val="28"/>
                <w:color w:val="000000"/>
              </w:rPr>
              <w:t>样本类型：EDTA血浆</w:t>
            </w:r>
          </w:p>
          <w:p>
            <w:pPr>
              <w:pStyle w:val="null3"/>
              <w:numPr>
                <w:ilvl w:val="0"/>
                <w:numId w:val="1"/>
              </w:numPr>
              <w:jc w:val="both"/>
            </w:pPr>
            <w:r>
              <w:rPr>
                <w:rFonts w:ascii="仿宋_GB2312" w:hAnsi="仿宋_GB2312" w:cs="仿宋_GB2312" w:eastAsia="仿宋_GB2312"/>
                <w:sz w:val="28"/>
                <w:color w:val="000000"/>
              </w:rPr>
              <w:t>上样体积：200µL或400µL</w:t>
            </w:r>
          </w:p>
          <w:p>
            <w:pPr>
              <w:pStyle w:val="null3"/>
              <w:numPr>
                <w:ilvl w:val="0"/>
                <w:numId w:val="1"/>
              </w:numPr>
              <w:jc w:val="both"/>
            </w:pPr>
            <w:r>
              <w:rPr>
                <w:rFonts w:ascii="仿宋_GB2312" w:hAnsi="仿宋_GB2312" w:cs="仿宋_GB2312" w:eastAsia="仿宋_GB2312"/>
                <w:sz w:val="28"/>
                <w:color w:val="000000"/>
              </w:rPr>
              <w:t>检测灵敏度：400µL：14.2 cps/ml；200µL：43.9 cps/ml</w:t>
            </w:r>
          </w:p>
          <w:p>
            <w:pPr>
              <w:pStyle w:val="null3"/>
              <w:numPr>
                <w:ilvl w:val="0"/>
                <w:numId w:val="1"/>
              </w:numPr>
              <w:jc w:val="both"/>
            </w:pPr>
            <w:r>
              <w:rPr>
                <w:rFonts w:ascii="仿宋_GB2312" w:hAnsi="仿宋_GB2312" w:cs="仿宋_GB2312" w:eastAsia="仿宋_GB2312"/>
                <w:sz w:val="28"/>
                <w:color w:val="000000"/>
              </w:rPr>
              <w:t>线性范围：400µL: 20 – 1.0E+07 cps/ml；</w:t>
            </w:r>
          </w:p>
          <w:p>
            <w:pPr>
              <w:pStyle w:val="null3"/>
              <w:jc w:val="both"/>
            </w:pPr>
            <w:r>
              <w:rPr>
                <w:rFonts w:ascii="仿宋_GB2312" w:hAnsi="仿宋_GB2312" w:cs="仿宋_GB2312" w:eastAsia="仿宋_GB2312"/>
                <w:sz w:val="28"/>
                <w:color w:val="000000"/>
              </w:rPr>
              <w:t xml:space="preserve">             200µL: 60 - 1.0E+07 cps/ml</w:t>
            </w:r>
          </w:p>
          <w:p>
            <w:pPr>
              <w:pStyle w:val="null3"/>
              <w:numPr>
                <w:ilvl w:val="0"/>
                <w:numId w:val="1"/>
              </w:numPr>
              <w:jc w:val="both"/>
            </w:pPr>
            <w:r>
              <w:rPr>
                <w:rFonts w:ascii="仿宋_GB2312" w:hAnsi="仿宋_GB2312" w:cs="仿宋_GB2312" w:eastAsia="仿宋_GB2312"/>
                <w:sz w:val="28"/>
                <w:color w:val="000000"/>
              </w:rPr>
              <w:t>特异性：100%</w:t>
            </w:r>
          </w:p>
          <w:p>
            <w:pPr>
              <w:pStyle w:val="null3"/>
              <w:numPr>
                <w:ilvl w:val="0"/>
                <w:numId w:val="1"/>
              </w:numPr>
              <w:jc w:val="both"/>
            </w:pPr>
            <w:r>
              <w:rPr>
                <w:rFonts w:ascii="仿宋_GB2312" w:hAnsi="仿宋_GB2312" w:cs="仿宋_GB2312" w:eastAsia="仿宋_GB2312"/>
                <w:sz w:val="28"/>
                <w:color w:val="000000"/>
              </w:rPr>
              <w:t>覆盖基因型：HIV-1 M组 A, C, D, F, G, H, CRF01_AE, CRF02_AG、HIV-1 O组和HIV-1 N组</w:t>
            </w:r>
          </w:p>
          <w:p>
            <w:pPr>
              <w:pStyle w:val="null3"/>
              <w:numPr>
                <w:ilvl w:val="0"/>
                <w:numId w:val="1"/>
              </w:numPr>
              <w:jc w:val="both"/>
            </w:pPr>
            <w:r>
              <w:rPr>
                <w:rFonts w:ascii="仿宋_GB2312" w:hAnsi="仿宋_GB2312" w:cs="仿宋_GB2312" w:eastAsia="仿宋_GB2312"/>
                <w:sz w:val="28"/>
                <w:color w:val="000000"/>
              </w:rPr>
              <w:t>引物探针：3条引物，通过HIV-1 gag基因和HIV-1 LTR区（双靶标）的扩增，应对变异</w:t>
            </w:r>
          </w:p>
          <w:p>
            <w:pPr>
              <w:pStyle w:val="null3"/>
              <w:numPr>
                <w:ilvl w:val="0"/>
                <w:numId w:val="1"/>
              </w:numPr>
              <w:jc w:val="both"/>
            </w:pPr>
            <w:r>
              <w:rPr>
                <w:rFonts w:ascii="仿宋_GB2312" w:hAnsi="仿宋_GB2312" w:cs="仿宋_GB2312" w:eastAsia="仿宋_GB2312"/>
                <w:sz w:val="28"/>
                <w:color w:val="000000"/>
              </w:rPr>
              <w:t>溯源性：WHO</w:t>
            </w:r>
          </w:p>
          <w:p>
            <w:pPr>
              <w:pStyle w:val="null3"/>
              <w:numPr>
                <w:ilvl w:val="0"/>
                <w:numId w:val="1"/>
              </w:numPr>
              <w:jc w:val="both"/>
            </w:pPr>
            <w:r>
              <w:rPr>
                <w:rFonts w:ascii="仿宋_GB2312" w:hAnsi="仿宋_GB2312" w:cs="仿宋_GB2312" w:eastAsia="仿宋_GB2312"/>
                <w:sz w:val="28"/>
                <w:color w:val="000000"/>
              </w:rPr>
              <w:t>一次检测最少9个标本，最多93标本</w:t>
            </w:r>
          </w:p>
          <w:p>
            <w:pPr>
              <w:pStyle w:val="null3"/>
              <w:numPr>
                <w:ilvl w:val="0"/>
                <w:numId w:val="1"/>
              </w:numPr>
              <w:jc w:val="both"/>
            </w:pPr>
            <w:r>
              <w:rPr>
                <w:rFonts w:ascii="仿宋_GB2312" w:hAnsi="仿宋_GB2312" w:cs="仿宋_GB2312" w:eastAsia="仿宋_GB2312"/>
                <w:sz w:val="28"/>
                <w:color w:val="000000"/>
              </w:rPr>
              <w:t>质控：非竞争性的非感染性重组质粒DNA，全程监控核酸提取、PCR扩增和检测, 消除管间差异</w:t>
            </w:r>
          </w:p>
          <w:p>
            <w:pPr>
              <w:pStyle w:val="null3"/>
              <w:numPr>
                <w:ilvl w:val="0"/>
                <w:numId w:val="1"/>
              </w:numPr>
              <w:jc w:val="both"/>
            </w:pPr>
            <w:r>
              <w:rPr>
                <w:rFonts w:ascii="仿宋_GB2312" w:hAnsi="仿宋_GB2312" w:cs="仿宋_GB2312" w:eastAsia="仿宋_GB2312"/>
                <w:sz w:val="28"/>
              </w:rPr>
              <w:t>定量方法：内标定量法，参与提取，扩增，避免假阴性，可对抑制进行补偿，精确定量，结果可溯源</w:t>
            </w:r>
          </w:p>
          <w:p>
            <w:pPr>
              <w:pStyle w:val="null3"/>
              <w:numPr>
                <w:ilvl w:val="0"/>
                <w:numId w:val="1"/>
              </w:numPr>
              <w:jc w:val="both"/>
            </w:pPr>
            <w:r>
              <w:rPr>
                <w:rFonts w:ascii="仿宋_GB2312" w:hAnsi="仿宋_GB2312" w:cs="仿宋_GB2312" w:eastAsia="仿宋_GB2312"/>
                <w:sz w:val="28"/>
              </w:rPr>
              <w:t>抗污染系统： 试剂含AmpErase-dUTP预防携带污染</w:t>
            </w:r>
          </w:p>
          <w:p>
            <w:pPr>
              <w:pStyle w:val="null3"/>
              <w:numPr>
                <w:ilvl w:val="0"/>
                <w:numId w:val="1"/>
              </w:numPr>
              <w:jc w:val="both"/>
            </w:pPr>
            <w:r>
              <w:rPr>
                <w:rFonts w:ascii="仿宋_GB2312" w:hAnsi="仿宋_GB2312" w:cs="仿宋_GB2312" w:eastAsia="仿宋_GB2312"/>
                <w:sz w:val="28"/>
              </w:rPr>
              <w:t>试剂有效期：2-8℃保存，即开即用，有效期12个月</w:t>
            </w:r>
          </w:p>
          <w:p>
            <w:pPr>
              <w:pStyle w:val="null3"/>
            </w:pPr>
            <w:r>
              <w:rPr>
                <w:rFonts w:ascii="仿宋_GB2312" w:hAnsi="仿宋_GB2312" w:cs="仿宋_GB2312" w:eastAsia="仿宋_GB2312"/>
                <w:sz w:val="28"/>
              </w:rPr>
              <w:t>外部对照：阴性，强阳性，弱阳性对照</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人类免疫缺陷病毒(HIV 1＋2型)抗体检测试剂盒(免疫印迹法) 技术参数</w:t>
            </w:r>
          </w:p>
        </w:tc>
        <w:tc>
          <w:tcPr>
            <w:tcW w:type="dxa" w:w="2076"/>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、检测原理：免疫印迹法（WB），全病毒裂解</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、用途：检测人血清或血浆中HIV-1和/或HIV-2抗体</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、第二代即用型 HIV WB确证试剂盒，可与各款全自动免疫/蛋白印迹仪配套使用，同时支持手工操作</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、包装规格：18人份/盒</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、组份：HIV-1/2膜条；HIV-1/2阳性对照；HIV-1/2弱阳性对照；阴性对照；浓缩洗涤缓冲液(20×)；样本稀释液；酶联物；碱性磷酸酶底物液</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、每盒试剂内HIV-1/2阳性对照、HIV-1/2弱阳性对照、阴性对照各含有≥80μL。</w:t>
            </w:r>
          </w:p>
          <w:p>
            <w:pPr>
              <w:pStyle w:val="null3"/>
              <w:jc w:val="left"/>
            </w:pPr>
            <w:r>
              <w:rPr>
                <w:rFonts w:ascii="仿宋_GB2312" w:hAnsi="仿宋_GB2312" w:cs="仿宋_GB2312" w:eastAsia="仿宋_GB2312"/>
                <w:sz w:val="28"/>
              </w:rPr>
              <w:t>6</w:t>
            </w:r>
            <w:r>
              <w:rPr>
                <w:rFonts w:ascii="仿宋_GB2312" w:hAnsi="仿宋_GB2312" w:cs="仿宋_GB2312" w:eastAsia="仿宋_GB2312"/>
                <w:sz w:val="28"/>
              </w:rPr>
              <w:t>、可同时检测出10条特异性条带。包括（gp160,gp120,p66,p55,p51,p41,p39,p31,p24,p17）</w:t>
            </w:r>
          </w:p>
          <w:p>
            <w:pPr>
              <w:pStyle w:val="null3"/>
              <w:jc w:val="both"/>
            </w:pPr>
            <w:r>
              <w:rPr>
                <w:rFonts w:ascii="仿宋_GB2312" w:hAnsi="仿宋_GB2312" w:cs="仿宋_GB2312" w:eastAsia="仿宋_GB2312"/>
                <w:sz w:val="28"/>
              </w:rPr>
              <w:t>阳性对照与弱阳性对照内均包含HIV-2抗体（gp36）</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、试剂的敏感性达100%，特异性达100%</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、检测结果易于长久保存，检测条带显色不会因胶水或胶带以及塑封改变。</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、试剂储存条件：2-8℃保存，有效期为24个月，交货时实际有效期≥15个月</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、一次性孵育板：可选配20孔、48孔等板槽，能适合各款全自动免疫/蛋白印迹仪器使用,同时支持手工操作。</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配套唯公流式细胞仪淋巴细胞检测鞘液技术参数</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8"/>
              </w:rPr>
              <w:t>包装规格：2×5L/桶</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、预期用途：与流式细胞仪配合使用流动相，用于使细胞成为单细胞悬液</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、适用仪器：本产品适用于唯公流式细胞仪</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、主要成分：pH缓冲剂（HEPES）、防腐剂（Proclin-300、吐温20）</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、储运条件和有效期：在2-30℃条件下保存、运输和使用，有效期为18个月，生产日期和失效日期见包装盒标贴</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、性能指标：pH值：7.20±0.20之间（20～25℃）；白细胞三分群：可区分淋巴细胞、单核细胞、粒细胞</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配套唯公流式细胞仪淋巴细胞检测清洗液技术参数</w:t>
            </w:r>
          </w:p>
        </w:tc>
        <w:tc>
          <w:tcPr>
            <w:tcW w:type="dxa" w:w="2076"/>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、包装规格：10 L/箱</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、预期用途：用于检测过程中反应体系的清洗，以便于对待测物质进行体外检测</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、适用仪器：本产品适用于唯公流式细胞仪</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、主要成分：纯水、表面活性剂(吐温20)、防腐剂（Proclin-300）</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、储运条件和有效期：在2-30℃条件下保存、运输和使用，有效期18个月</w:t>
            </w:r>
          </w:p>
          <w:p>
            <w:pPr>
              <w:pStyle w:val="null3"/>
            </w:pPr>
            <w:r>
              <w:rPr>
                <w:rFonts w:ascii="仿宋_GB2312" w:hAnsi="仿宋_GB2312" w:cs="仿宋_GB2312" w:eastAsia="仿宋_GB2312"/>
                <w:sz w:val="28"/>
              </w:rPr>
              <w:t>5</w:t>
            </w:r>
            <w:r>
              <w:rPr>
                <w:rFonts w:ascii="仿宋_GB2312" w:hAnsi="仿宋_GB2312" w:cs="仿宋_GB2312" w:eastAsia="仿宋_GB2312"/>
                <w:sz w:val="28"/>
              </w:rPr>
              <w:t>、性能指标：pH值：7.60±0.50之间（20～25℃）</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提供货物必须是原品牌制造厂制造的最新工艺、生产的最新产品。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产品有效期不低于11个月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守约方有权要求违约方纠正其违约行为并采取充分、有效、及时的措施消除违约后果，若违约方30日内未纠正的，守约方有权直接解除本合同并要求违约方赔偿守约方所受的全部损失。因合同而发生的争议，双方应首先协商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产品技术参数表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商务应答表 标的清单 报价表 项目实施方案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