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版本号：ZDHZ25-016Z20250523002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档案室和消防栓消防配套设施建设项目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ZDHZ25-016Z</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档案室和消防栓消防配套设施建设项目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ZDHZ25-016Z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档案室和消防栓消防配套设施建设项目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为保障校园消防安全，需要对全院消防栓消防软管及其配套设备进行更换，提高消防设施使用寿命，提升学院消防安全管理水平，满足校园的实际需求。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采购包1（档案室和消防栓消防配套设施建设项目）：属于专门面向中小企业采购。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开户银行：西安银行汉中分行</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地址：汉中市汉台区太白路百嘉汇B座5楼T33室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院档室防护区约240平方米（792立方米空间，南北两间），目前室内设置有烟感报警器、喷淋系统、4Kg手提干粉灭火器14具,外门为防盗门。根据《国家档案局发布〈机关档案管理规定〉，2019年1月1日起施行》“档案库房应当配备消防系统。根据档案重要程度和载体类型的不同，可以选择采用洁净气体、惰性气体或高压细水雾灭火设备。档案库房应当安装甲级防火门，配备火灾自动报警设备。”本次采用HFC-227ea自动灭火系统为全淹没灭火系统的灭火方式工程设计施工（即惰性气体七氟丙烷）,在规定时间内向防护区喷射一定浓度的灭火剂,并使其均匀地充满整个防护区,能将其区域里任何一部位发生的火灾扑灭，有效降低档案受损程度。 学院现有室内消火栓及其配套设备960套，为2012年建设。根据《消防水带产品维护、更换及售后服务》T/CPQS XF006—2023、《消防软管卷盘》国家标准（GB 15090-2005）要求“消防软管及配套设备使用年限为5年，每年需要检验一次”，为保障校园消防安全，需要对全院消防栓消防软管及其配套设备进行更换。提高消防设施使用寿命。提升学院消防安全管理水平，为师生创造一个安全的学习和工作环境。达到消防产品更换及使用规范标准，满足校园的实际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柜式无管网单瓶组：6套</w:t>
            </w:r>
          </w:p>
          <w:p>
            <w:pPr>
              <w:pStyle w:val="null3"/>
              <w:jc w:val="both"/>
            </w:pPr>
            <w:r>
              <w:rPr>
                <w:rFonts w:ascii="仿宋_GB2312" w:hAnsi="仿宋_GB2312" w:cs="仿宋_GB2312" w:eastAsia="仿宋_GB2312"/>
                <w:sz w:val="24"/>
              </w:rPr>
              <w:t>1.型号（GQQ120/2.5-LT）；</w:t>
            </w:r>
          </w:p>
          <w:p>
            <w:pPr>
              <w:pStyle w:val="null3"/>
              <w:jc w:val="both"/>
            </w:pPr>
            <w:r>
              <w:rPr>
                <w:rFonts w:ascii="仿宋_GB2312" w:hAnsi="仿宋_GB2312" w:cs="仿宋_GB2312" w:eastAsia="仿宋_GB2312"/>
                <w:sz w:val="24"/>
              </w:rPr>
              <w:t>★2.压力2.5MPa，钢瓶（符合GB5099标准），表面防腐蚀涂层；3.启动方式：电磁驱动+机械应急启动，喷放时间≤10秒，喷射剩余率≤5%；4.适用防护区容积：南北档案室总容积792</w:t>
            </w:r>
            <w:r>
              <w:rPr>
                <w:rFonts w:ascii="仿宋_GB2312" w:hAnsi="仿宋_GB2312" w:cs="仿宋_GB2312" w:eastAsia="仿宋_GB2312"/>
                <w:sz w:val="24"/>
              </w:rPr>
              <w:t xml:space="preserve"> m</w:t>
            </w:r>
            <w:r>
              <w:rPr>
                <w:rFonts w:ascii="仿宋_GB2312" w:hAnsi="仿宋_GB2312" w:cs="仿宋_GB2312" w:eastAsia="仿宋_GB2312"/>
                <w:sz w:val="24"/>
              </w:rPr>
              <w:t>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4.认证要求：CCCF认证。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七氟丙烷灭火药剂（</w:t>
            </w:r>
            <w:r>
              <w:rPr>
                <w:rFonts w:ascii="仿宋_GB2312" w:hAnsi="仿宋_GB2312" w:cs="仿宋_GB2312" w:eastAsia="仿宋_GB2312"/>
                <w:sz w:val="24"/>
              </w:rPr>
              <w:t>HFC-227ea）：</w:t>
            </w:r>
            <w:r>
              <w:rPr>
                <w:rFonts w:ascii="仿宋_GB2312" w:hAnsi="仿宋_GB2312" w:cs="仿宋_GB2312" w:eastAsia="仿宋_GB2312"/>
                <w:sz w:val="28"/>
              </w:rPr>
              <w:t>654</w:t>
            </w:r>
            <w:r>
              <w:rPr>
                <w:rFonts w:ascii="仿宋_GB2312" w:hAnsi="仿宋_GB2312" w:cs="仿宋_GB2312" w:eastAsia="仿宋_GB2312"/>
                <w:sz w:val="24"/>
              </w:rPr>
              <w:t>kg</w:t>
            </w:r>
          </w:p>
          <w:p>
            <w:pPr>
              <w:pStyle w:val="null3"/>
              <w:jc w:val="both"/>
            </w:pPr>
            <w:r>
              <w:rPr>
                <w:rFonts w:ascii="仿宋_GB2312" w:hAnsi="仿宋_GB2312" w:cs="仿宋_GB2312" w:eastAsia="仿宋_GB2312"/>
                <w:sz w:val="24"/>
              </w:rPr>
              <w:t>★1.纯度≥99.6%，符合《七氟丙烷灭火剂》（GB18614-2012）；</w:t>
            </w:r>
          </w:p>
          <w:p>
            <w:pPr>
              <w:pStyle w:val="null3"/>
              <w:jc w:val="both"/>
            </w:pPr>
            <w:r>
              <w:rPr>
                <w:rFonts w:ascii="仿宋_GB2312" w:hAnsi="仿宋_GB2312" w:cs="仿宋_GB2312" w:eastAsia="仿宋_GB2312"/>
                <w:sz w:val="24"/>
              </w:rPr>
              <w:t>2.环保备案证明及MSDS文件；</w:t>
            </w:r>
          </w:p>
          <w:p>
            <w:pPr>
              <w:pStyle w:val="null3"/>
              <w:jc w:val="both"/>
            </w:pPr>
            <w:r>
              <w:rPr>
                <w:rFonts w:ascii="仿宋_GB2312" w:hAnsi="仿宋_GB2312" w:cs="仿宋_GB2312" w:eastAsia="仿宋_GB2312"/>
                <w:sz w:val="24"/>
              </w:rPr>
              <w:t>3.按防护区需求分配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泄压装置：2套</w:t>
            </w:r>
          </w:p>
          <w:p>
            <w:pPr>
              <w:pStyle w:val="null3"/>
              <w:jc w:val="both"/>
            </w:pPr>
            <w:r>
              <w:rPr>
                <w:rFonts w:ascii="仿宋_GB2312" w:hAnsi="仿宋_GB2312" w:cs="仿宋_GB2312" w:eastAsia="仿宋_GB2312"/>
                <w:sz w:val="24"/>
              </w:rPr>
              <w:t>1.阀体材质：钢板（厚度≥1.5mm），防锈处理，百叶窗结构带防尘网；</w:t>
            </w:r>
          </w:p>
          <w:p>
            <w:pPr>
              <w:pStyle w:val="null3"/>
              <w:jc w:val="both"/>
            </w:pPr>
            <w:r>
              <w:rPr>
                <w:rFonts w:ascii="仿宋_GB2312" w:hAnsi="仿宋_GB2312" w:cs="仿宋_GB2312" w:eastAsia="仿宋_GB2312"/>
                <w:sz w:val="24"/>
              </w:rPr>
              <w:t>2.动作压力≤1200Pa，复位压力≥500Pa，耐火极限≥1小时。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气体火灾报警系统：</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1.系统组成：含主机、烟感/温感探测器、声光报警器、手动启停按钮；</w:t>
            </w:r>
          </w:p>
          <w:p>
            <w:pPr>
              <w:pStyle w:val="null3"/>
              <w:jc w:val="both"/>
            </w:pPr>
            <w:r>
              <w:rPr>
                <w:rFonts w:ascii="仿宋_GB2312" w:hAnsi="仿宋_GB2312" w:cs="仿宋_GB2312" w:eastAsia="仿宋_GB2312"/>
                <w:sz w:val="24"/>
              </w:rPr>
              <w:t>2.支持自动/手动双控模式，联动延时0-30秒可调；</w:t>
            </w:r>
          </w:p>
          <w:p>
            <w:pPr>
              <w:pStyle w:val="null3"/>
              <w:jc w:val="both"/>
            </w:pPr>
            <w:r>
              <w:rPr>
                <w:rFonts w:ascii="仿宋_GB2312" w:hAnsi="仿宋_GB2312" w:cs="仿宋_GB2312" w:eastAsia="仿宋_GB2312"/>
                <w:sz w:val="24"/>
              </w:rPr>
              <w:t>3.报警主机需具备故障自检、历史记录存储功能，防护区状态实时显示；</w:t>
            </w:r>
          </w:p>
          <w:p>
            <w:pPr>
              <w:pStyle w:val="null3"/>
              <w:jc w:val="left"/>
            </w:pPr>
            <w:r>
              <w:rPr>
                <w:rFonts w:ascii="仿宋_GB2312" w:hAnsi="仿宋_GB2312" w:cs="仿宋_GB2312" w:eastAsia="仿宋_GB2312"/>
                <w:sz w:val="24"/>
              </w:rPr>
              <w:t>4.布线采用阻燃耐火线缆，穿金属管敷设；</w:t>
            </w:r>
          </w:p>
          <w:p>
            <w:pPr>
              <w:pStyle w:val="null3"/>
              <w:jc w:val="both"/>
            </w:pPr>
            <w:r>
              <w:rPr>
                <w:rFonts w:ascii="仿宋_GB2312" w:hAnsi="仿宋_GB2312" w:cs="仿宋_GB2312" w:eastAsia="仿宋_GB2312"/>
                <w:sz w:val="24"/>
              </w:rPr>
              <w:t>5.系统主机安装于图书馆消防控制室。</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99"/>
              <w:jc w:val="both"/>
            </w:pPr>
            <w:r>
              <w:rPr>
                <w:rFonts w:ascii="仿宋_GB2312" w:hAnsi="仿宋_GB2312" w:cs="仿宋_GB2312" w:eastAsia="仿宋_GB2312"/>
                <w:sz w:val="24"/>
              </w:rPr>
              <w:t>通风设备：</w:t>
            </w:r>
            <w:r>
              <w:rPr>
                <w:rFonts w:ascii="仿宋_GB2312" w:hAnsi="仿宋_GB2312" w:cs="仿宋_GB2312" w:eastAsia="仿宋_GB2312"/>
                <w:sz w:val="24"/>
              </w:rPr>
              <w:t>2套</w:t>
            </w:r>
          </w:p>
          <w:p>
            <w:pPr>
              <w:pStyle w:val="null3"/>
              <w:ind w:firstLine="99"/>
              <w:jc w:val="both"/>
            </w:pPr>
            <w:r>
              <w:rPr>
                <w:rFonts w:ascii="仿宋_GB2312" w:hAnsi="仿宋_GB2312" w:cs="仿宋_GB2312" w:eastAsia="仿宋_GB2312"/>
                <w:sz w:val="24"/>
              </w:rPr>
              <w:t>1.70°防火阀及联动；</w:t>
            </w:r>
          </w:p>
          <w:p>
            <w:pPr>
              <w:pStyle w:val="null3"/>
              <w:ind w:firstLine="99"/>
              <w:jc w:val="both"/>
            </w:pPr>
            <w:r>
              <w:rPr>
                <w:rFonts w:ascii="仿宋_GB2312" w:hAnsi="仿宋_GB2312" w:cs="仿宋_GB2312" w:eastAsia="仿宋_GB2312"/>
                <w:sz w:val="24"/>
              </w:rPr>
              <w:t>2.防火阀熔断温度70℃±5℃，耐火极限≥1.5小时；</w:t>
            </w:r>
          </w:p>
          <w:p>
            <w:pPr>
              <w:pStyle w:val="null3"/>
              <w:jc w:val="both"/>
            </w:pPr>
            <w:r>
              <w:rPr>
                <w:rFonts w:ascii="仿宋_GB2312" w:hAnsi="仿宋_GB2312" w:cs="仿宋_GB2312" w:eastAsia="仿宋_GB2312"/>
                <w:sz w:val="24"/>
              </w:rPr>
              <w:t>3.火灾时自动关闭并联动排烟风机。</w:t>
            </w:r>
          </w:p>
          <w:p>
            <w:pPr>
              <w:pStyle w:val="null3"/>
              <w:jc w:val="both"/>
            </w:pPr>
            <w:r>
              <w:rPr>
                <w:rFonts w:ascii="仿宋_GB2312" w:hAnsi="仿宋_GB2312" w:cs="仿宋_GB2312" w:eastAsia="仿宋_GB2312"/>
                <w:sz w:val="24"/>
              </w:rPr>
              <w:t>4.风量:</w:t>
            </w:r>
            <w:r>
              <w:rPr>
                <w:rFonts w:ascii="仿宋_GB2312" w:hAnsi="仿宋_GB2312" w:cs="仿宋_GB2312" w:eastAsia="仿宋_GB2312"/>
                <w:sz w:val="24"/>
              </w:rPr>
              <w:t>≥</w:t>
            </w:r>
            <w:r>
              <w:rPr>
                <w:rFonts w:ascii="仿宋_GB2312" w:hAnsi="仿宋_GB2312" w:cs="仿宋_GB2312" w:eastAsia="仿宋_GB2312"/>
                <w:sz w:val="24"/>
              </w:rPr>
              <w:t>10739m³/h全压:</w:t>
            </w:r>
            <w:r>
              <w:rPr>
                <w:rFonts w:ascii="仿宋_GB2312" w:hAnsi="仿宋_GB2312" w:cs="仿宋_GB2312" w:eastAsia="仿宋_GB2312"/>
                <w:sz w:val="24"/>
              </w:rPr>
              <w:t>≥</w:t>
            </w:r>
            <w:r>
              <w:rPr>
                <w:rFonts w:ascii="仿宋_GB2312" w:hAnsi="仿宋_GB2312" w:cs="仿宋_GB2312" w:eastAsia="仿宋_GB2312"/>
                <w:sz w:val="24"/>
              </w:rPr>
              <w:t>177Pa功率:</w:t>
            </w:r>
            <w:r>
              <w:rPr>
                <w:rFonts w:ascii="仿宋_GB2312" w:hAnsi="仿宋_GB2312" w:cs="仿宋_GB2312" w:eastAsia="仿宋_GB2312"/>
                <w:sz w:val="24"/>
              </w:rPr>
              <w:t>≥</w:t>
            </w:r>
            <w:r>
              <w:rPr>
                <w:rFonts w:ascii="仿宋_GB2312" w:hAnsi="仿宋_GB2312" w:cs="仿宋_GB2312" w:eastAsia="仿宋_GB2312"/>
                <w:sz w:val="24"/>
              </w:rPr>
              <w:t>075KW；转速:1250r/min。</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钢制甲级防火门：</w:t>
            </w:r>
            <w:r>
              <w:rPr>
                <w:rFonts w:ascii="仿宋_GB2312" w:hAnsi="仿宋_GB2312" w:cs="仿宋_GB2312" w:eastAsia="仿宋_GB2312"/>
                <w:sz w:val="24"/>
              </w:rPr>
              <w:t>4趟</w:t>
            </w:r>
          </w:p>
          <w:p>
            <w:pPr>
              <w:pStyle w:val="null3"/>
              <w:jc w:val="both"/>
            </w:pPr>
            <w:r>
              <w:rPr>
                <w:rFonts w:ascii="仿宋_GB2312" w:hAnsi="仿宋_GB2312" w:cs="仿宋_GB2312" w:eastAsia="仿宋_GB2312"/>
                <w:sz w:val="24"/>
              </w:rPr>
              <w:t>1.单扇尺寸按实际需求；</w:t>
            </w:r>
          </w:p>
          <w:p>
            <w:pPr>
              <w:pStyle w:val="null3"/>
              <w:jc w:val="both"/>
            </w:pPr>
            <w:r>
              <w:rPr>
                <w:rFonts w:ascii="仿宋_GB2312" w:hAnsi="仿宋_GB2312" w:cs="仿宋_GB2312" w:eastAsia="仿宋_GB2312"/>
                <w:sz w:val="24"/>
              </w:rPr>
              <w:t>2.耐火极限≥1.5小时，门体厚度≥50mm，符合《防火门》GB12955-2008；</w:t>
            </w:r>
          </w:p>
          <w:p>
            <w:pPr>
              <w:pStyle w:val="null3"/>
              <w:jc w:val="both"/>
            </w:pPr>
            <w:r>
              <w:rPr>
                <w:rFonts w:ascii="仿宋_GB2312" w:hAnsi="仿宋_GB2312" w:cs="仿宋_GB2312" w:eastAsia="仿宋_GB2312"/>
                <w:sz w:val="24"/>
              </w:rPr>
              <w:t>3.带闭门器、顺序器及防火密封条，提供CCCF认证。</w:t>
            </w:r>
          </w:p>
          <w:p>
            <w:pPr>
              <w:pStyle w:val="null3"/>
              <w:jc w:val="both"/>
            </w:pPr>
            <w:r>
              <w:rPr>
                <w:rFonts w:ascii="仿宋_GB2312" w:hAnsi="仿宋_GB2312" w:cs="仿宋_GB2312" w:eastAsia="仿宋_GB2312"/>
                <w:sz w:val="24"/>
              </w:rPr>
              <w:t>4.尺寸：高208mm,宽116mm，（允许±10％偏差)，4趟。</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疏散指示装置：</w:t>
            </w:r>
            <w:r>
              <w:rPr>
                <w:rFonts w:ascii="仿宋_GB2312" w:hAnsi="仿宋_GB2312" w:cs="仿宋_GB2312" w:eastAsia="仿宋_GB2312"/>
                <w:sz w:val="24"/>
              </w:rPr>
              <w:t>1项</w:t>
            </w:r>
          </w:p>
          <w:p>
            <w:pPr>
              <w:pStyle w:val="null3"/>
              <w:jc w:val="both"/>
            </w:pPr>
            <w:r>
              <w:rPr>
                <w:rFonts w:ascii="仿宋_GB2312" w:hAnsi="仿宋_GB2312" w:cs="仿宋_GB2312" w:eastAsia="仿宋_GB2312"/>
                <w:sz w:val="24"/>
              </w:rPr>
              <w:t>1.LED光源，应急时间≥90分钟；</w:t>
            </w:r>
          </w:p>
          <w:p>
            <w:pPr>
              <w:pStyle w:val="null3"/>
              <w:jc w:val="both"/>
            </w:pPr>
            <w:r>
              <w:rPr>
                <w:rFonts w:ascii="仿宋_GB2312" w:hAnsi="仿宋_GB2312" w:cs="仿宋_GB2312" w:eastAsia="仿宋_GB2312"/>
                <w:sz w:val="24"/>
              </w:rPr>
              <w:t>2.安装高度距地≤1m，间距≤15m，覆盖档案室所有疏散路径。</w:t>
            </w:r>
          </w:p>
          <w:p>
            <w:pPr>
              <w:pStyle w:val="null3"/>
              <w:jc w:val="both"/>
            </w:pPr>
            <w:r>
              <w:rPr>
                <w:rFonts w:ascii="仿宋_GB2312" w:hAnsi="仿宋_GB2312" w:cs="仿宋_GB2312" w:eastAsia="仿宋_GB2312"/>
                <w:sz w:val="24"/>
              </w:rPr>
              <w:t>3.分散式。</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原喷淋系统隔断及墙体改造：</w:t>
            </w:r>
            <w:r>
              <w:rPr>
                <w:rFonts w:ascii="仿宋_GB2312" w:hAnsi="仿宋_GB2312" w:cs="仿宋_GB2312" w:eastAsia="仿宋_GB2312"/>
                <w:sz w:val="24"/>
              </w:rPr>
              <w:t>1项</w:t>
            </w:r>
          </w:p>
          <w:p>
            <w:pPr>
              <w:pStyle w:val="null3"/>
              <w:jc w:val="both"/>
            </w:pPr>
            <w:r>
              <w:rPr>
                <w:rFonts w:ascii="仿宋_GB2312" w:hAnsi="仿宋_GB2312" w:cs="仿宋_GB2312" w:eastAsia="仿宋_GB2312"/>
                <w:sz w:val="24"/>
              </w:rPr>
              <w:t>1.隔断喷淋管道时不得损坏档案室结构，垃圾外运至指定地点；</w:t>
            </w:r>
          </w:p>
          <w:p>
            <w:pPr>
              <w:pStyle w:val="null3"/>
              <w:jc w:val="both"/>
            </w:pPr>
            <w:r>
              <w:rPr>
                <w:rFonts w:ascii="仿宋_GB2312" w:hAnsi="仿宋_GB2312" w:cs="仿宋_GB2312" w:eastAsia="仿宋_GB2312"/>
                <w:sz w:val="24"/>
              </w:rPr>
              <w:t>2.墙体修复采用防材料（耐火极限≥1小时），并恢复原貌。</w:t>
            </w:r>
          </w:p>
          <w:p>
            <w:pPr>
              <w:pStyle w:val="null3"/>
              <w:jc w:val="both"/>
            </w:pPr>
            <w:r>
              <w:rPr>
                <w:rFonts w:ascii="仿宋_GB2312" w:hAnsi="仿宋_GB2312" w:cs="仿宋_GB2312" w:eastAsia="仿宋_GB2312"/>
                <w:sz w:val="24"/>
              </w:rPr>
              <w:t>3.墙体厚度20cm,面积1平方米。</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消防软管卷盘：</w:t>
            </w:r>
            <w:r>
              <w:rPr>
                <w:rFonts w:ascii="仿宋_GB2312" w:hAnsi="仿宋_GB2312" w:cs="仿宋_GB2312" w:eastAsia="仿宋_GB2312"/>
                <w:sz w:val="24"/>
              </w:rPr>
              <w:t>960套</w:t>
            </w:r>
          </w:p>
          <w:p>
            <w:pPr>
              <w:pStyle w:val="null3"/>
              <w:jc w:val="both"/>
            </w:pPr>
            <w:r>
              <w:rPr>
                <w:rFonts w:ascii="仿宋_GB2312" w:hAnsi="仿宋_GB2312" w:cs="仿宋_GB2312" w:eastAsia="仿宋_GB2312"/>
                <w:sz w:val="24"/>
              </w:rPr>
              <w:t>1.软管内径19±0.8(mm)，软管长度25±0.25(m)，转动性能≤20(N ·m)， 射程≥6(m)，流量≥24(L/min)；</w:t>
            </w:r>
          </w:p>
          <w:p>
            <w:pPr>
              <w:pStyle w:val="null3"/>
              <w:jc w:val="left"/>
            </w:pPr>
            <w:r>
              <w:rPr>
                <w:rFonts w:ascii="仿宋_GB2312" w:hAnsi="仿宋_GB2312" w:cs="仿宋_GB2312" w:eastAsia="仿宋_GB2312"/>
                <w:sz w:val="24"/>
              </w:rPr>
              <w:t>2.符合GB15090-2005《消防软管卷盘》标准，提供国家消防产品检测报告；</w:t>
            </w:r>
          </w:p>
          <w:p>
            <w:pPr>
              <w:pStyle w:val="null3"/>
              <w:jc w:val="both"/>
            </w:pPr>
            <w:r>
              <w:rPr>
                <w:rFonts w:ascii="仿宋_GB2312" w:hAnsi="仿宋_GB2312" w:cs="仿宋_GB2312" w:eastAsia="仿宋_GB2312"/>
                <w:sz w:val="24"/>
              </w:rPr>
              <w:t>3.含拆除、安装。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甲方在本合同签订生效后10日内，支付合同总价40%的价款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全部货物安装调试并交付使用后10日内，支付合同总价60%的价款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试运行1周后组织验收，按照磋商文件、响应文件和合同约定进行验收。该项目需要设置出厂检验、到货检验、安装调试检验、第三方检测等验收环节。 履约验收方案应当在合同中约定。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在承诺的质保期内对所有产品及时进行免费的售后服务，电子产品保修期为3年。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3、本项目所属行业为 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（1）供应商为具有独立承担民事责任能力的企业法人、负责人或其他组织或自然人，并出具有效的营业执照（事业法人证）或证明文件或自然人的身份证明； （2）根据汉财办采管〔2024〕20号的文件要求，供应商只需在资格审查环节提供满足相应条件的资格承诺函（式样见响应文件格式），不再需要提供以下证明资料：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(1)法定代表人（负责人）参加磋商的：法定代表人（负责人）身份证明及身份证 (2)授权代表参加磋商的：授权委托书及授权代表身份证</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信用记录审查：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资格证明部分.docx 标的清单 报价表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符合第七章“投标文件格式”的规定</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w:t>
            </w:r>
          </w:p>
        </w:tc>
        <w:tc>
          <w:tcPr>
            <w:tcW w:type="dxa" w:w="1661"/>
          </w:tcPr>
          <w:p>
            <w:pPr>
              <w:pStyle w:val="null3"/>
            </w:pPr>
            <w:r>
              <w:rPr>
                <w:rFonts w:ascii="仿宋_GB2312" w:hAnsi="仿宋_GB2312" w:cs="仿宋_GB2312" w:eastAsia="仿宋_GB2312"/>
              </w:rPr>
              <w:t>标的清单 报价表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符合磋商文件要求。签名是指手写签名或者加盖名章，盖章是指加盖单位印章。</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资格证明部分.docx 响应函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符合第八章“拟签订合同文本”条款中实质性要求和条件</w:t>
            </w:r>
          </w:p>
        </w:tc>
        <w:tc>
          <w:tcPr>
            <w:tcW w:type="dxa" w:w="1661"/>
          </w:tcPr>
          <w:p>
            <w:pPr>
              <w:pStyle w:val="null3"/>
            </w:pPr>
            <w:r>
              <w:rPr>
                <w:rFonts w:ascii="仿宋_GB2312" w:hAnsi="仿宋_GB2312" w:cs="仿宋_GB2312" w:eastAsia="仿宋_GB2312"/>
              </w:rPr>
              <w:t>商务技术部分.docx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技术参数和配置完全满足磋商文件要求的，得15分；带“★”号的技术参数不允许偏离，不带“★”号技术参数与磋商文件要求有偏离的，每一项扣1.5分，扣完为止，偏离项数超过10项的，按无效投标文件处理。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根据项目实际需求，提供完整详细的项目实施方案。内容包含：①项目总进度计划②供货组织安排③运输方案④安装调试方案⑤物力调配及保障措施⑥应急保障方案。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①项目总进度计划：每完全满足一个评审标准得1分，满分3分； ②供货组织安排:每完全满足一个评审标准得1分，满分3分； ③运输方案:每完全满足一个评审标准得0.5分，满分1.5分； ④安装调试方案:每完全满足一个评审标准得0.5分，满分1.5分； ⑤物力调配及保障措施：每完全满足一个评审标准得1分，满分3分； ⑥应急保障方案：每完全满足一个评审标准得1分，满分3分。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 ①产品性能、使用寿命及效果②质量管理体系及保证措施③产品配套资料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①产品性能：每完全满足一个评审标准得1分，满分3分； ②质量管理体系及保证措施:每完全满足一个评审标准得1分，满分3分。 ③产品配套资料:每完全满足一个评审标准得1分，满分3分；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提供针对本项目拟派的人员配备清单(清单内容应包含:具体成员姓名、专业技能、工作经验、拟从事岗位)，根据人员配置清单评审。 每提供一个人员得0.5分，不提供或缺漏项不得分，满分4.5分。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供应商提供技术参数表中设备的合法来源渠道证明文件或情况说明，每提供一项产品的证明文件得0.5分，满分4.5分，不提供不得分。供应商可根据自身情况提供以下资料： 1、如供应商为所投产品代理商：提供货物的合法来源渠道证明文件（例如：产品制造商授权、销售协议、代理协议等证明文件）。 2、如供应商为所投产品的制造商：需提供情况说明（说明产品为制造商自己生产）。备注：以加盖供应商公章的证明材料复印件为计分依据。</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根据项目实际需求提供售后服务方案。内容包含：①售后服务范围及保障措施②响应时间③响应方式④故障处理及补救措施。 二、评审标准 1.完整性：方案须全面，对评审内容中的各项要求有详细描述； 2.可实施性：切合本项目实际情况，提出步骤清晰、合理的方案； 3.针对性：方案能够紧扣项目实际情况，内容科学合理。 三、赋分依据（针对每条评审标准，如存在不合理的方面扣0.5分） ①售后服务范围及保障措施：每完全满足一个评审标准得1分，满分3分； ②响应时间：每完全满足一个评审标准得1分，满分3分； ③响应方式：每完全满足一个评审标准得1分，满分3分； ④故障处理及补救措施：每完全满足一个评审标准得1分，满分3分。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针对本项目采购需求及特点制定培训方案，内容包括：①培训目标及计划②培训内容及方式。 二、评审标准 1、完整性：方案须全面，对评审内容中的各项要求有详细描述； 2、可实施性：切合本项目实际情况，实施步骤清晰、合理； 3、针对性：方案能够紧扣项目实际情况，内容科学合理。 三、赋分标准（针对每条评审标准，如存在不合理的方面扣0.5分） ①培训目标及计划：每完全满足一个评审标准得1分，满分3分； ②培训内容及方式：每完全满足一个评审标准得1分，满分3分。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一、评审内容：供应商提供近三年（2022年5月至今）类似项目业绩； 二、评审标准及赋分标准：需提供类似业绩证明文件，以提供标明合同买卖双方、货物名称及数量的销售合同为准（复印件加盖公章），每提供一个业绩证明得1分，满分4分。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