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版本号：TZZB-HZ-2025076C-220250528001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全院医用被服洗涤服务采购项目(二次)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TZZB-HZ-2025076C-2</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全院医用被服洗涤服务采购项目(二次)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TZZB-HZ-2025076C-2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全院医用被服洗涤服务采购项目(二次)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汉中市铁路中心医院定编床位500张，开放床位500张，月平均出院人数约1300人，现有员工600余人，经医院2025年2月12日办公会议及党委会议研究，同意医院被服洗涤委托服务进行招标采购。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采购包1（全院医用被服洗涤服务采购）：属于专门面向中小企业采购。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余佳乐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13992625897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杨欣玉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15291615858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联系人：杨欣玉</w:t>
      </w:r>
    </w:p>
    <w:p>
      <w:pPr>
        <w:pStyle w:val="null3"/>
      </w:pPr>
      <w:r>
        <w:rPr>
          <w:rFonts w:ascii="仿宋_GB2312" w:hAnsi="仿宋_GB2312" w:cs="仿宋_GB2312" w:eastAsia="仿宋_GB2312"/>
        </w:rPr>
        <w:t>联系电话：15291615858</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汉中市铁路中心医院定编床位500张，开放床位500张，月平均出院人数约1300人，现有员工600余人，经医院2025年2月12日办公会议及党委会议研究，同意医院被服洗涤委托服务进行招标采购。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采购项目概况：</w:t>
            </w:r>
          </w:p>
          <w:p>
            <w:pPr>
              <w:pStyle w:val="null3"/>
              <w:jc w:val="both"/>
            </w:pPr>
            <w:r>
              <w:rPr>
                <w:rFonts w:ascii="仿宋_GB2312" w:hAnsi="仿宋_GB2312" w:cs="仿宋_GB2312" w:eastAsia="仿宋_GB2312"/>
                <w:sz w:val="21"/>
              </w:rPr>
              <w:t xml:space="preserve">  汉中市铁路中心医院定编床位</w:t>
            </w:r>
            <w:r>
              <w:rPr>
                <w:rFonts w:ascii="仿宋_GB2312" w:hAnsi="仿宋_GB2312" w:cs="仿宋_GB2312" w:eastAsia="仿宋_GB2312"/>
                <w:sz w:val="21"/>
              </w:rPr>
              <w:t>500张，开放床位500张，月平均出院人数约1300人，现有员工600余人，经医院2025年2月12日办公会议及党委会议研究，同意医院被服洗涤委托服务进行招标采购。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项目背景：</w:t>
            </w:r>
          </w:p>
          <w:p>
            <w:pPr>
              <w:pStyle w:val="null3"/>
              <w:jc w:val="both"/>
            </w:pPr>
            <w:r>
              <w:rPr>
                <w:rFonts w:ascii="仿宋_GB2312" w:hAnsi="仿宋_GB2312" w:cs="仿宋_GB2312" w:eastAsia="仿宋_GB2312"/>
                <w:sz w:val="21"/>
                <w:color w:val="000000"/>
              </w:rPr>
              <w:t xml:space="preserve">  为</w:t>
            </w:r>
            <w:r>
              <w:rPr>
                <w:rFonts w:ascii="仿宋_GB2312" w:hAnsi="仿宋_GB2312" w:cs="仿宋_GB2312" w:eastAsia="仿宋_GB2312"/>
                <w:sz w:val="21"/>
                <w:color w:val="000000"/>
              </w:rPr>
              <w:t>满足医院正常洗涤工作，</w:t>
            </w:r>
            <w:r>
              <w:rPr>
                <w:rFonts w:ascii="仿宋_GB2312" w:hAnsi="仿宋_GB2312" w:cs="仿宋_GB2312" w:eastAsia="仿宋_GB2312"/>
                <w:sz w:val="21"/>
                <w:color w:val="000000"/>
              </w:rPr>
              <w:t>经</w:t>
            </w:r>
            <w:r>
              <w:rPr>
                <w:rFonts w:ascii="仿宋_GB2312" w:hAnsi="仿宋_GB2312" w:cs="仿宋_GB2312" w:eastAsia="仿宋_GB2312"/>
                <w:sz w:val="21"/>
                <w:color w:val="000000"/>
              </w:rPr>
              <w:t>医院研究决定，重新超标确定洗涤公司</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pPr>
            <w:r>
              <w:rPr>
                <w:rFonts w:ascii="仿宋_GB2312" w:hAnsi="仿宋_GB2312" w:cs="仿宋_GB2312" w:eastAsia="仿宋_GB2312"/>
                <w:b/>
              </w:rPr>
              <w:t>1.1详细洗涤物品清单</w:t>
            </w:r>
          </w:p>
          <w:tbl>
            <w:tblPr>
              <w:tblBorders>
                <w:top w:val="none" w:color="000000" w:sz="4"/>
                <w:left w:val="none" w:color="000000" w:sz="4"/>
                <w:bottom w:val="none" w:color="000000" w:sz="4"/>
                <w:right w:val="none" w:color="000000" w:sz="4"/>
                <w:insideH w:val="none"/>
                <w:insideV w:val="none"/>
              </w:tblBorders>
            </w:tblPr>
            <w:tblGrid>
              <w:gridCol w:w="394"/>
              <w:gridCol w:w="543"/>
              <w:gridCol w:w="684"/>
              <w:gridCol w:w="379"/>
              <w:gridCol w:w="684"/>
              <w:gridCol w:w="491"/>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名称</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数量（件）</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数量（件）</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被套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30280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洗手裤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5250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新生儿被套褥套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洗手衣</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7890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被芯</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洞巾</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2450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病员裤</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2950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腹单</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450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病员衣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4360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治疗巾</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12050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窗帘</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中单</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14550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床单</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41380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28</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隔帘</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6100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隔离衣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29</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枕芯</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工作裤</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24700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12600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毛巾</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帽子</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褥套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褥芯</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椅套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浴巾</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2125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枕套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12900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枕头</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包单</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13050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手术衣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8530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台布</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0"/>
              </w:rPr>
              <w:t>说明</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每年按365天计，洗涤总量超招标量5%，价格不变。洗涤总量比去年同期低5%，执行合同总价扣减3%，最低价中标。如因国家法律法规变化、医院业务变更或重大疫情等导致洗涤总量减少，据实按照招标单价及实际服务数量结算。</w:t>
            </w:r>
          </w:p>
          <w:p>
            <w:pPr>
              <w:pStyle w:val="null3"/>
              <w:jc w:val="both"/>
            </w:pPr>
            <w:r>
              <w:rPr>
                <w:rFonts w:ascii="仿宋_GB2312" w:hAnsi="仿宋_GB2312" w:cs="仿宋_GB2312" w:eastAsia="仿宋_GB2312"/>
                <w:sz w:val="20"/>
              </w:rPr>
              <w:t>2、投标单位不可仅对其中任何一项或某几项进行单独投标;投标报价</w:t>
            </w:r>
          </w:p>
          <w:p>
            <w:pPr>
              <w:pStyle w:val="null3"/>
              <w:jc w:val="both"/>
            </w:pPr>
            <w:r>
              <w:rPr>
                <w:rFonts w:ascii="仿宋_GB2312" w:hAnsi="仿宋_GB2312" w:cs="仿宋_GB2312" w:eastAsia="仿宋_GB2312"/>
                <w:sz w:val="20"/>
              </w:rPr>
              <w:t>3、必须罗列分项报价;总报价不可超出采购人的预算，采购人无需支付成交总价之外其他任何费用。</w:t>
            </w:r>
          </w:p>
          <w:p>
            <w:pPr>
              <w:pStyle w:val="null3"/>
              <w:jc w:val="both"/>
            </w:pPr>
            <w:r>
              <w:rPr>
                <w:rFonts w:ascii="仿宋_GB2312" w:hAnsi="仿宋_GB2312" w:cs="仿宋_GB2312" w:eastAsia="仿宋_GB2312"/>
                <w:sz w:val="20"/>
                <w:b/>
              </w:rPr>
              <w:t>1.2、服务范围</w:t>
            </w:r>
          </w:p>
          <w:p>
            <w:pPr>
              <w:pStyle w:val="null3"/>
              <w:ind w:firstLine="400"/>
              <w:jc w:val="both"/>
            </w:pPr>
            <w:r>
              <w:rPr>
                <w:rFonts w:ascii="仿宋_GB2312" w:hAnsi="仿宋_GB2312" w:cs="仿宋_GB2312" w:eastAsia="仿宋_GB2312"/>
                <w:sz w:val="20"/>
              </w:rPr>
              <w:t>本项目招标的范围包括全院所有医护人员工作服、窗帘、值班房用品、以及住院门诊病号床位的病号衣、被服、手术布单、供应室包布等的定期收集、清洗</w:t>
            </w:r>
            <w:r>
              <w:rPr>
                <w:rFonts w:ascii="仿宋_GB2312" w:hAnsi="仿宋_GB2312" w:cs="仿宋_GB2312" w:eastAsia="仿宋_GB2312"/>
                <w:sz w:val="20"/>
              </w:rPr>
              <w:t>(清洗的污垢有人体污渍、血渍、食物油渍、尿垢、粪便、药渍等各种污渍)、烘干、叠好、熨平、缝补、包装及运送等，包含乙方每天一次(含所有节假日)到医院指定区域(污物集中点及洁物集中点)点对点收污衣，送洁衣的整个过程服务;甲方负责住院各科室布草的收发工作。乙方洗涤驻场工作人员负责每月清洗总数量核对无误与各科室负责人签字确认。</w:t>
            </w:r>
          </w:p>
          <w:p>
            <w:pPr>
              <w:pStyle w:val="null3"/>
              <w:ind w:firstLine="400"/>
              <w:jc w:val="both"/>
            </w:pPr>
            <w:r>
              <w:rPr>
                <w:rFonts w:ascii="仿宋_GB2312" w:hAnsi="仿宋_GB2312" w:cs="仿宋_GB2312" w:eastAsia="仿宋_GB2312"/>
                <w:sz w:val="20"/>
              </w:rPr>
              <w:t>洗涤效果达到市级以上卫生防疫部门规定的行业洗涤相关标准。洗涤后的布草微生物指标应达到以下标准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细菌总数</w:t>
            </w:r>
            <w:r>
              <w:rPr>
                <w:rFonts w:ascii="仿宋_GB2312" w:hAnsi="仿宋_GB2312" w:cs="仿宋_GB2312" w:eastAsia="仿宋_GB2312"/>
                <w:sz w:val="20"/>
              </w:rPr>
              <w:t>≤200CFU/100cm²，无致病微生物，金黄色葡萄球菌、大肠菌群不得检出。感官标准要求无污渍、无串色、白色布草洁白度良好，无发黄发灰发黄现象；工作服、被套、床单熨烫平整、舒展，无异味，无破损。</w:t>
            </w:r>
          </w:p>
          <w:p>
            <w:pPr>
              <w:pStyle w:val="null3"/>
              <w:jc w:val="both"/>
            </w:pPr>
            <w:r>
              <w:rPr>
                <w:rFonts w:ascii="仿宋_GB2312" w:hAnsi="仿宋_GB2312" w:cs="仿宋_GB2312" w:eastAsia="仿宋_GB2312"/>
                <w:sz w:val="20"/>
                <w:b/>
              </w:rPr>
              <w:t>1.3、</w:t>
            </w:r>
            <w:r>
              <w:rPr>
                <w:rFonts w:ascii="仿宋_GB2312" w:hAnsi="仿宋_GB2312" w:cs="仿宋_GB2312" w:eastAsia="仿宋_GB2312"/>
                <w:sz w:val="20"/>
                <w:b/>
              </w:rPr>
              <w:t>报价要求</w:t>
            </w:r>
          </w:p>
          <w:p>
            <w:pPr>
              <w:pStyle w:val="null3"/>
              <w:ind w:firstLine="400"/>
              <w:jc w:val="both"/>
            </w:pPr>
            <w:r>
              <w:rPr>
                <w:rFonts w:ascii="仿宋_GB2312" w:hAnsi="仿宋_GB2312" w:cs="仿宋_GB2312" w:eastAsia="仿宋_GB2312"/>
                <w:sz w:val="20"/>
              </w:rPr>
              <w:t>报价必须包括</w:t>
            </w:r>
            <w:r>
              <w:rPr>
                <w:rFonts w:ascii="仿宋_GB2312" w:hAnsi="仿宋_GB2312" w:cs="仿宋_GB2312" w:eastAsia="仿宋_GB2312"/>
                <w:sz w:val="20"/>
              </w:rPr>
              <w:t>:收发、运输、洗涤、包装、检验、完税、污衣袋供应和洗涤、洁衣袋供应和洗涤整个过程服务中的人工、运输工具等以及不可预见的一切费用(不包含各科室布草的收发工作)，且在服务期限内不作调整;</w:t>
            </w:r>
          </w:p>
          <w:p>
            <w:pPr>
              <w:pStyle w:val="null3"/>
              <w:jc w:val="both"/>
            </w:pPr>
            <w:r>
              <w:rPr>
                <w:rFonts w:ascii="仿宋_GB2312" w:hAnsi="仿宋_GB2312" w:cs="仿宋_GB2312" w:eastAsia="仿宋_GB2312"/>
                <w:sz w:val="20"/>
                <w:b/>
              </w:rPr>
              <w:t>1.4、</w:t>
            </w:r>
            <w:r>
              <w:rPr>
                <w:rFonts w:ascii="仿宋_GB2312" w:hAnsi="仿宋_GB2312" w:cs="仿宋_GB2312" w:eastAsia="仿宋_GB2312"/>
                <w:sz w:val="20"/>
                <w:b/>
              </w:rPr>
              <w:t>服务响应时间</w:t>
            </w:r>
          </w:p>
          <w:p>
            <w:pPr>
              <w:pStyle w:val="null3"/>
              <w:jc w:val="both"/>
            </w:pPr>
            <w:r>
              <w:rPr>
                <w:rFonts w:ascii="仿宋_GB2312" w:hAnsi="仿宋_GB2312" w:cs="仿宋_GB2312" w:eastAsia="仿宋_GB2312"/>
                <w:sz w:val="20"/>
              </w:rPr>
              <w:t>投标人在质保期内收到采购人有关售后服务的要求</w:t>
            </w:r>
            <w:r>
              <w:rPr>
                <w:rFonts w:ascii="仿宋_GB2312" w:hAnsi="仿宋_GB2312" w:cs="仿宋_GB2312" w:eastAsia="仿宋_GB2312"/>
                <w:sz w:val="20"/>
              </w:rPr>
              <w:t>(电话或传真)后，30分钟响应，在2小时内安排专人到现场进行处理，4小时内解决问题</w:t>
            </w:r>
            <w:r>
              <w:rPr>
                <w:rFonts w:ascii="仿宋_GB2312" w:hAnsi="仿宋_GB2312" w:cs="仿宋_GB2312" w:eastAsia="仿宋_GB2312"/>
                <w:sz w:val="28"/>
              </w:rPr>
              <w:t>。</w:t>
            </w:r>
          </w:p>
          <w:p>
            <w:pPr>
              <w:pStyle w:val="null3"/>
              <w:jc w:val="both"/>
            </w:pPr>
            <w:r>
              <w:rPr>
                <w:rFonts w:ascii="仿宋_GB2312" w:hAnsi="仿宋_GB2312" w:cs="仿宋_GB2312" w:eastAsia="仿宋_GB2312"/>
                <w:sz w:val="20"/>
                <w:b/>
              </w:rPr>
              <w:t>1.5、</w:t>
            </w:r>
            <w:r>
              <w:rPr>
                <w:rFonts w:ascii="仿宋_GB2312" w:hAnsi="仿宋_GB2312" w:cs="仿宋_GB2312" w:eastAsia="仿宋_GB2312"/>
                <w:sz w:val="20"/>
                <w:b/>
              </w:rPr>
              <w:t>拟派出人员</w:t>
            </w:r>
          </w:p>
          <w:p>
            <w:pPr>
              <w:pStyle w:val="null3"/>
              <w:jc w:val="both"/>
            </w:pPr>
            <w:r>
              <w:rPr>
                <w:rFonts w:ascii="仿宋_GB2312" w:hAnsi="仿宋_GB2312" w:cs="仿宋_GB2312" w:eastAsia="仿宋_GB2312"/>
                <w:sz w:val="21"/>
              </w:rPr>
              <w:t>响应人</w:t>
            </w:r>
            <w:r>
              <w:rPr>
                <w:rFonts w:ascii="仿宋_GB2312" w:hAnsi="仿宋_GB2312" w:cs="仿宋_GB2312" w:eastAsia="仿宋_GB2312"/>
                <w:sz w:val="21"/>
              </w:rPr>
              <w:t>具有良好的洗涤服务保障能力，至少具备</w:t>
            </w:r>
            <w:r>
              <w:rPr>
                <w:rFonts w:ascii="仿宋_GB2312" w:hAnsi="仿宋_GB2312" w:cs="仿宋_GB2312" w:eastAsia="仿宋_GB2312"/>
                <w:sz w:val="21"/>
              </w:rPr>
              <w:t>1个洗衣技师。</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项目成果要求：</w:t>
            </w:r>
          </w:p>
          <w:p>
            <w:pPr>
              <w:pStyle w:val="null3"/>
              <w:ind w:firstLine="400"/>
              <w:jc w:val="both"/>
            </w:pPr>
            <w:r>
              <w:rPr>
                <w:rFonts w:ascii="仿宋_GB2312" w:hAnsi="仿宋_GB2312" w:cs="仿宋_GB2312" w:eastAsia="仿宋_GB2312"/>
                <w:sz w:val="20"/>
                <w:color w:val="000000"/>
              </w:rPr>
              <w:t>洗涤效果达到市级以上卫生防疫部门规定的行业洗涤相关标准。洗涤后的布草微生物指标应达到以下标准</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细菌总数</w:t>
            </w:r>
            <w:r>
              <w:rPr>
                <w:rFonts w:ascii="仿宋_GB2312" w:hAnsi="仿宋_GB2312" w:cs="仿宋_GB2312" w:eastAsia="仿宋_GB2312"/>
                <w:sz w:val="20"/>
                <w:color w:val="000000"/>
              </w:rPr>
              <w:t>≤200CFU/100cm²，无致病微生物，金黄色葡萄球菌、大肠菌群不得检出。感官标准要求无污渍、无串色、白色布草洁白度良好，无发黄发灰发黄现象；工作服、被套、床单熨烫平整、舒展，无异味，无破损。</w:t>
            </w:r>
          </w:p>
          <w:p>
            <w:pPr>
              <w:pStyle w:val="null3"/>
              <w:ind w:firstLine="400"/>
              <w:jc w:val="both"/>
            </w:pPr>
            <w:r>
              <w:rPr>
                <w:rFonts w:ascii="仿宋_GB2312" w:hAnsi="仿宋_GB2312" w:cs="仿宋_GB2312" w:eastAsia="仿宋_GB2312"/>
                <w:sz w:val="20"/>
                <w:color w:val="000000"/>
              </w:rPr>
              <w:t>供应商须提供洗涤类检测报告等证明材料，若后期出现质量问题，供应商负全部责任</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采购方将随机不定时要求供应商提供并出具洗涤检测报告</w:t>
            </w:r>
            <w:r>
              <w:rPr>
                <w:rFonts w:ascii="仿宋_GB2312" w:hAnsi="仿宋_GB2312" w:cs="仿宋_GB2312" w:eastAsia="仿宋_GB2312"/>
                <w:sz w:val="21"/>
                <w:color w:val="000000"/>
              </w:rPr>
              <w:t>，每季度不少于一次，菌落总数检测方法按照医院消毒卫生标准</w:t>
            </w:r>
            <w:r>
              <w:rPr>
                <w:rFonts w:ascii="仿宋_GB2312" w:hAnsi="仿宋_GB2312" w:cs="仿宋_GB2312" w:eastAsia="仿宋_GB2312"/>
                <w:sz w:val="21"/>
                <w:color w:val="000000"/>
              </w:rPr>
              <w:t>GB15982-2022执行。大肠菌群参照GB15979。金黄色葡萄球菌检测依据GB7198.5。</w:t>
            </w:r>
          </w:p>
          <w:p>
            <w:pPr>
              <w:pStyle w:val="null3"/>
              <w:jc w:val="both"/>
            </w:pPr>
            <w:r>
              <w:rPr>
                <w:rFonts w:ascii="仿宋_GB2312" w:hAnsi="仿宋_GB2312" w:cs="仿宋_GB2312" w:eastAsia="仿宋_GB2312"/>
                <w:sz w:val="21"/>
                <w:color w:val="000000"/>
              </w:rPr>
              <w:t>根据医院各科室每月考核评分标准进行验收</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采购方将随机不定时要求供应商提供并出具洗涤检测报告</w:t>
            </w:r>
            <w:r>
              <w:rPr>
                <w:rFonts w:ascii="仿宋_GB2312" w:hAnsi="仿宋_GB2312" w:cs="仿宋_GB2312" w:eastAsia="仿宋_GB2312"/>
                <w:sz w:val="21"/>
                <w:color w:val="000000"/>
              </w:rPr>
              <w:t>，每季度不少于一次，菌落总数检测方法按照医院消毒卫生标准</w:t>
            </w:r>
            <w:r>
              <w:rPr>
                <w:rFonts w:ascii="仿宋_GB2312" w:hAnsi="仿宋_GB2312" w:cs="仿宋_GB2312" w:eastAsia="仿宋_GB2312"/>
                <w:sz w:val="21"/>
                <w:color w:val="000000"/>
              </w:rPr>
              <w:t>GB15982-2022执行。大肠菌群参照GB15979。金黄色葡萄球菌检测依据GB7198.5。</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响应人具有良好的洗涤服务保障能力，至少具备1个洗衣技师。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具有专业齐全的洗涤、熨烫、整理等设备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自合同签订之日起一年。本项目采取一次招标三年沿用、实行一年一考核一签合同的办法，合同期满前一个月，医院主管部门将根据所提供服务的总体考核情况，决定是否续签后一年度合同。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汉中市铁路中心医院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 4、供应商须提供洗涤类检测报告等证明材料，若后期出现质量问题，供应商负全部责任。 5、根据医院各科室每月考核评分标准进行验收，采购方将随机不定时要求供应商提供并出具洗涤检测报告，每季度不少于一次，菌落总数检测方法按照医院消毒卫生标准GB15982-2022执行。大肠菌群参照GB15979。金黄色葡萄球菌检测依据GB7198.5。</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按月付款，前10个月每月发票开出，验收合格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按月付款，剩余2个月每月发票开出，验收合格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二、解决争议的方法：执行本合同过程中发生争议，应友好协商解决，协商不成的，可协商或由有关部门调解解决，协商或调解不成的，可向采购方所在地汉台区人民法院提起诉讼。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供应商应提交的相关资格证明材料（一般资格要求及特殊资格要求）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供应商应提交的相关资格证明材料（一般资格要求及特殊资格要求）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针对本项目的实施背景、工作目的、服务目标及内容制定相应的总体实施方案，方案内容合理、可行得7.1-10分；方案内容较合理、较可行得3.1-7分；方案内容基本合理、基本可行得1-3分；无此项内容不得分。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洗涤保障措施</w:t>
            </w:r>
          </w:p>
        </w:tc>
        <w:tc>
          <w:tcPr>
            <w:tcW w:type="dxa" w:w="2492"/>
          </w:tcPr>
          <w:p>
            <w:pPr>
              <w:pStyle w:val="null3"/>
            </w:pPr>
            <w:r>
              <w:rPr>
                <w:rFonts w:ascii="仿宋_GB2312" w:hAnsi="仿宋_GB2312" w:cs="仿宋_GB2312" w:eastAsia="仿宋_GB2312"/>
              </w:rPr>
              <w:t>根据供应商针对本项目有严格的洗涤工艺作业流程，在收集、 分检、消毒（防止交叉感染）、洗涤、烘干、包装、运送等方面有相关保障措施，且具体、可行，并针对医院被服等物品洗涤、 消毒方面提供完善的解决方案进行评审：措施全面、可行、合理得7.1-10分；措施较全面、较可行、较合理得3.1-7分；措施较全面、较可行、较合理得1-3分；未提供方案得0分。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洗涤服务及消杀方案</w:t>
            </w:r>
          </w:p>
        </w:tc>
        <w:tc>
          <w:tcPr>
            <w:tcW w:type="dxa" w:w="2492"/>
          </w:tcPr>
          <w:p>
            <w:pPr>
              <w:pStyle w:val="null3"/>
            </w:pPr>
            <w:r>
              <w:rPr>
                <w:rFonts w:ascii="仿宋_GB2312" w:hAnsi="仿宋_GB2312" w:cs="仿宋_GB2312" w:eastAsia="仿宋_GB2312"/>
              </w:rPr>
              <w:t>根据供应商针对本项目提供使用的洗涤产品能有效保证医用洗涤物品效果及使用寿命，并对顽固污渍的处理有良好的解决及对传染病源布草的洗涤、消毒方案进行评审：详细完善得7.1-10分；较详细完善得3.1-7分；方案粗略得1-3分；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洗涤工作场所分区方案</w:t>
            </w:r>
          </w:p>
        </w:tc>
        <w:tc>
          <w:tcPr>
            <w:tcW w:type="dxa" w:w="2492"/>
          </w:tcPr>
          <w:p>
            <w:pPr>
              <w:pStyle w:val="null3"/>
            </w:pPr>
            <w:r>
              <w:rPr>
                <w:rFonts w:ascii="仿宋_GB2312" w:hAnsi="仿宋_GB2312" w:cs="仿宋_GB2312" w:eastAsia="仿宋_GB2312"/>
              </w:rPr>
              <w:t>供应商针对满足本项目的工作场所（包括但不限于有隔离屏障及标识，能够实现人流、物流洁污分区，能提供区域平面图），根据响应方案进行评审： 工作场所区域划分科学合理，完全满足项目要求的得3.1-5分； 工作场所区域划分基本合理，较能满足项目要求的得2.1-3分； 工作场所区域划分简陋得1-2分；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根据供应商提供在遇见突发情况时不能正常工作的应急预案 （包括停电、停水、停气、机器故障、医院紧急通知、 车辆紧急需求等）进行评审： 应急预案详细可行，能够确保采购人使用得3.1-5分； 应急预案相对完整，基本能够保证采购人使 用得2.1-3分； 应急方案简陋得1-2 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企业内控制度</w:t>
            </w:r>
          </w:p>
        </w:tc>
        <w:tc>
          <w:tcPr>
            <w:tcW w:type="dxa" w:w="2492"/>
          </w:tcPr>
          <w:p>
            <w:pPr>
              <w:pStyle w:val="null3"/>
            </w:pPr>
            <w:r>
              <w:rPr>
                <w:rFonts w:ascii="仿宋_GB2312" w:hAnsi="仿宋_GB2312" w:cs="仿宋_GB2312" w:eastAsia="仿宋_GB2312"/>
              </w:rPr>
              <w:t>供应商提供企业内部管理制度，包含①公司管理规章制度；②台账管理制度；③消防安全管理制度；④排污（环保）管理制度； ⑤项目档案管理制度。提供齐全的得5分，每缺少一项扣1分，扣完为止。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提供2023年1月1日以来的类似项目业绩：每有一个类似项目业绩得2.5分,最高5分。无此项内容不得分。（业绩证明材料以中标/成交通知书或合同为准，磋商响应文件中附中标通知书或合同复印件并加盖企业公章）。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根据供应商具有较好的配送能力，具有一定数量的医用专业配送车辆（提供车辆行驶证及购置发票复印件）进行评审：提供1辆得1分，最高得5分，无证明材料不得分。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根据供应商具有专业齐全的洗涤、熨烫、整理等设备，且能提供主要设备相关证明材料(包括但不限于检测报告、购买发票等)， 保证设备稳定高效完成服务，提供1项设备得1分，最高得5分，无证明材料不得分。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服务人员配置</w:t>
            </w:r>
          </w:p>
        </w:tc>
        <w:tc>
          <w:tcPr>
            <w:tcW w:type="dxa" w:w="2492"/>
          </w:tcPr>
          <w:p>
            <w:pPr>
              <w:pStyle w:val="null3"/>
            </w:pPr>
            <w:r>
              <w:rPr>
                <w:rFonts w:ascii="仿宋_GB2312" w:hAnsi="仿宋_GB2312" w:cs="仿宋_GB2312" w:eastAsia="仿宋_GB2312"/>
              </w:rPr>
              <w:t>根据供应商拟投入本项目团队人员的配置情况（包含专业人员、洗涤人员、熨烫人员、消毒杀菌、配送人员等，根据人员资质、工作经验、年龄等方面）进行评审： 人员安排合理清晰，经验丰富，能完全满足本项目使用需求得3.1-5分； 人员安排基本合理，具有一定的专业性和经验，能基本满足本项目使用需求得2.1-3分；人员安排简陋，专业性和类似经验不足，部分满足本项目使用需求得1-2分；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售后服务及验收方案</w:t>
            </w:r>
          </w:p>
        </w:tc>
        <w:tc>
          <w:tcPr>
            <w:tcW w:type="dxa" w:w="2492"/>
          </w:tcPr>
          <w:p>
            <w:pPr>
              <w:pStyle w:val="null3"/>
            </w:pPr>
            <w:r>
              <w:rPr>
                <w:rFonts w:ascii="仿宋_GB2312" w:hAnsi="仿宋_GB2312" w:cs="仿宋_GB2312" w:eastAsia="仿宋_GB2312"/>
              </w:rPr>
              <w:t>根据供应商针对本项目所提供的售后服务及验收方案进行评审：方案合理详细，完全满足项目售后要求的得3.1-5分； 方案基本合理，基本可行，较能满足项目售后要求的得2.1-3分； 方案简陋得1-2分； 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业绩一览表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供应商应提交的相关资格证明材料（一般资格要求及特殊资格要求）</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价格分统一采用低价优先法得算，即满足磋商文件要求且最后报价最低的报价为评审基准价，其价格分为满分。其他供应商的价格分统一按照下列公式得算： 报价得分=(评审基准价／最后报价)×30 ；得算分数时四舍五入取小数点后两位。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详见附件：供应商应提交的相关资格证明材料（一般资格要求及特殊资格要求）</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