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版本号：TZZB-HZ-2025162C20250616002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气动控制实训资源包采购项目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TZZB-HZ-2025162C</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气动控制实训资源包采购项目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TZZB-HZ-2025162C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气动控制实训资源包采购项目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气动控制实训资源包1批，包含12套气动控制平台及相应配件、实训室电路改造、相关教学设备，包含配套的技术资料和培训服务，交钥匙工程。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采购包1（汉中职业技术学院气动控制实训资源包采购项目）：属于专门面向中小企业采购。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2、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3、磋商授权代表：法定代表人直接参加磋商的，须出具法人身份证；法定代表人授权代表参加磋商的，须出具法定代表人授权书及授权代表身份证。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本项目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气动控制实训资源包1批，包含12套气动控制平台及相应配件、实训室电路改造、相关教学设备，包含配套的技术资料和培训服务，交钥匙工程。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3"/>
              <w:gridCol w:w="1477"/>
              <w:gridCol w:w="539"/>
              <w:gridCol w:w="319"/>
              <w:gridCol w:w="323"/>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名称</w:t>
                  </w:r>
                </w:p>
              </w:tc>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技术参数与性能指标</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备注</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气动控制实训平台</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1）具备翻转式机构钣金喷塑底座，底座水平工作面采用多根型材构成，翻开后正立工作面采用多条平行的“1”型孔设计，可使用导轨或扎带等方式固定气动元件，投标文件中要求提供多角度实物图。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2）具备收纳箱，尺寸≥680*340 *210mm，投标文件中要求提供多角度实物图。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具备气站</w:t>
                  </w:r>
                  <w:r>
                    <w:rPr>
                      <w:rFonts w:ascii="仿宋_GB2312" w:hAnsi="仿宋_GB2312" w:cs="仿宋_GB2312" w:eastAsia="仿宋_GB2312"/>
                      <w:sz w:val="24"/>
                    </w:rPr>
                    <w:t>≤255*135*205mm；工作电源AC220V±10% 50Hz，输入功率≥0.11kW，流量：23-25L/min，额定输出气压≥0.5MPa；噪音≤40dB；配置0-10bar可调气源总阀、气源处理组件气路集成块组件、压力表组件。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4）具备单作用气缸组件至少1个：压力0.2-1MPa，行程约50mm，配装快插接头、消声器、L型支架等。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5）具备双作用气缸组件至少1个：压力0.15-1MPa，行程约100mm，配装快插接头、L型支架等。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6）具备以下阀：气控延时阀组件，2位3通按钮式换向阀组件，2位5通手动换向阀组件，2位3通旋钮式换向阀组件，2位3通滚轮杠杆式换向阀组件至少2个，2位3通单气控换向阀（NC）组件，2位5通单气控换向阀组件，2位5通双气控换向阀组件，梭阀（或逻辑）组件，双压阀（与逻辑）组件，单向节流阀组件至少3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7）具备气动接近传感器组件至少2个。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8）具备气管、气管剪切器。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能够完成</w:t>
                  </w:r>
                  <w:r>
                    <w:rPr>
                      <w:rFonts w:ascii="仿宋_GB2312" w:hAnsi="仿宋_GB2312" w:cs="仿宋_GB2312" w:eastAsia="仿宋_GB2312"/>
                      <w:sz w:val="24"/>
                    </w:rPr>
                    <w:t>方向控制回路、压力控制回路、速度控制回路等气动回路搭建调试实训。</w:t>
                  </w:r>
                </w:p>
                <w:p>
                  <w:pPr>
                    <w:pStyle w:val="null3"/>
                    <w:jc w:val="both"/>
                  </w:pPr>
                  <w:r>
                    <w:rPr>
                      <w:rFonts w:ascii="仿宋_GB2312" w:hAnsi="仿宋_GB2312" w:cs="仿宋_GB2312" w:eastAsia="仿宋_GB2312"/>
                      <w:sz w:val="24"/>
                    </w:rPr>
                    <w:t>（10）具备气动技术教学软件、气动仿真教学软件、教学视频、微课、数字化教材、实训指导书。</w:t>
                  </w:r>
                </w:p>
                <w:p>
                  <w:pPr>
                    <w:pStyle w:val="null3"/>
                  </w:pPr>
                  <w:r>
                    <w:rPr>
                      <w:rFonts w:ascii="仿宋_GB2312" w:hAnsi="仿宋_GB2312" w:cs="仿宋_GB2312" w:eastAsia="仿宋_GB2312"/>
                      <w:sz w:val="24"/>
                    </w:rPr>
                    <w:t>▲①气动技术教学软件：包含气动技术概况、气动系统组成、换向回路、压力回路、速度回路、其他回路、综合试题等。统一的目录管理。响应文件提供满足功能的软件界面截图不少于5张。</w:t>
                  </w:r>
                </w:p>
                <w:p>
                  <w:pPr>
                    <w:pStyle w:val="null3"/>
                  </w:pPr>
                  <w:r>
                    <w:rPr>
                      <w:rFonts w:ascii="仿宋_GB2312" w:hAnsi="仿宋_GB2312" w:cs="仿宋_GB2312" w:eastAsia="仿宋_GB2312"/>
                      <w:sz w:val="24"/>
                    </w:rPr>
                    <w:t>▲②气动仿真教学软件：可完成气动元件、方向控制回路、压力控制回路、速度控制回路、气动系统等的工作原理演示功能。气动基本回路、气动系统回路等的气动管路和电气控制回路线路连接练习，要求相关气动元件外观、接口与工业器件一致。要求项目不少于15个，需列出项目名称），响应文件提供满足功能的软件界面截图不少于5张。</w:t>
                  </w:r>
                </w:p>
                <w:p>
                  <w:pPr>
                    <w:pStyle w:val="null3"/>
                  </w:pPr>
                  <w:r>
                    <w:rPr>
                      <w:rFonts w:ascii="仿宋_GB2312" w:hAnsi="仿宋_GB2312" w:cs="仿宋_GB2312" w:eastAsia="仿宋_GB2312"/>
                      <w:sz w:val="24"/>
                    </w:rPr>
                    <w:t>▲③视频资源：教学视频以所投设备为载体开发，视频内容至少包含不少于以下内容气源处理组件使用介绍；2位5通手动换向阀介绍；2位3通手动换向阀介绍等。响应文件提供资源截图不少于4张。</w:t>
                  </w:r>
                </w:p>
                <w:p>
                  <w:pPr>
                    <w:pStyle w:val="null3"/>
                  </w:pPr>
                  <w:r>
                    <w:rPr>
                      <w:rFonts w:ascii="仿宋_GB2312" w:hAnsi="仿宋_GB2312" w:cs="仿宋_GB2312" w:eastAsia="仿宋_GB2312"/>
                      <w:sz w:val="24"/>
                    </w:rPr>
                    <w:t>▲④气动系统设计分析微课（响应文件提供系统截图不少于5张），至少包含以下内容：气体定义计算等（≥30min）；混合气体及热平衡（≥25min）；管路散热（≥20min）；管路压力脉动与管网（≥20min）；管路与接头（≥20min）；单向阀动态特性（≥30min)；气动减压阀参数与响应滞环（≥15min）；换向阀与缸（≥35min）；阀与活塞（≥35min）；气动比例阀（≥25min）；安全控制阀及阀芯（≥30min）；相对运动阀、多级缸（≥20min）；活塞压缩机及散热（≥35min）；热交换器及介质元件（≥25min）。</w:t>
                  </w:r>
                </w:p>
                <w:p>
                  <w:pPr>
                    <w:pStyle w:val="null3"/>
                  </w:pPr>
                  <w:r>
                    <w:rPr>
                      <w:rFonts w:ascii="仿宋_GB2312" w:hAnsi="仿宋_GB2312" w:cs="仿宋_GB2312" w:eastAsia="仿宋_GB2312"/>
                      <w:sz w:val="24"/>
                    </w:rPr>
                    <w:t>▲⑤数字化教材：具有3D效果，包含有实验原理与目的、步骤、实验报告与分析等。提供液压气动基础试题库不少于10套。AHK 3930标准气动控制回路及控制对象加工图纸不少于3套。世赛比赛标准的气动控制回路及其控制对象模型加工图纸不少于3套。46届世界技能大赛省级选拔赛气动设计相关模块试题不少于1套。第二届国赛工业机械赛项液压模块赛题和评分标准不少于2套。为保护软件知识产权和后期维护升级，要求数字化教材与投标产品为同一制造商，要求提供著作权证书扫描件并加盖生产商公章。</w:t>
                  </w:r>
                </w:p>
                <w:p>
                  <w:pPr>
                    <w:pStyle w:val="null3"/>
                  </w:pPr>
                  <w:r>
                    <w:rPr>
                      <w:rFonts w:ascii="仿宋_GB2312" w:hAnsi="仿宋_GB2312" w:cs="仿宋_GB2312" w:eastAsia="仿宋_GB2312"/>
                      <w:sz w:val="24"/>
                    </w:rPr>
                    <w:t>▲⑥实训指导书文档：按实训项目分章节，列明本设备所能完成的所有实训项目的操作步骤、技术要点、操作规范等，用于直接指导学生操作的技术材料。</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3"/>
              <w:gridCol w:w="1477"/>
              <w:gridCol w:w="539"/>
              <w:gridCol w:w="319"/>
              <w:gridCol w:w="323"/>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工作台</w:t>
                  </w:r>
                </w:p>
              </w:tc>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输入电压：单相三线～</w:t>
                  </w:r>
                  <w:r>
                    <w:rPr>
                      <w:rFonts w:ascii="仿宋_GB2312" w:hAnsi="仿宋_GB2312" w:cs="仿宋_GB2312" w:eastAsia="仿宋_GB2312"/>
                      <w:sz w:val="24"/>
                    </w:rPr>
                    <w:t>220V±10%  50Hz；装置容量：＜1kVA；外形尺寸：≥1600mm×800mm×1200mm。采用双层设计，包含隔板实验台，配备日光灯及开关。面板为E1级三聚氰胺复面合成板。采用工业铝型材立柱为支撑，台面高度≥800mm，承受力≥300Kg。设有抽屉、键盘托、主机放置区。电源开关采用漏电保护器控制，具有漏电保护功能，安全符合国家相关标准，并设有电源指示灯。配8路5孔AC220V电源接口，可为实训套件和外配仪器设备提供工作电源。投标文件中要求提供多角度实物图。</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3"/>
              <w:gridCol w:w="1477"/>
              <w:gridCol w:w="539"/>
              <w:gridCol w:w="319"/>
              <w:gridCol w:w="323"/>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PLC控制实训模块</w:t>
                  </w:r>
                </w:p>
              </w:tc>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1）具备以下阀：2位3通单电控电磁阀（常闭），2位3通单电控电磁阀（常开），2位5通单电控电磁阀至少2个，2位5通双电控电磁阀至少2个，3位5通双电控电磁阀，调压阀（带压力表）。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2）磁簧式磁性开关至少4个，行程开关至少2</w:t>
                  </w:r>
                  <w:r>
                    <w:rPr>
                      <w:rFonts w:ascii="仿宋_GB2312" w:hAnsi="仿宋_GB2312" w:cs="仿宋_GB2312" w:eastAsia="仿宋_GB2312"/>
                      <w:sz w:val="24"/>
                    </w:rPr>
                    <w:t>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3）具备双作用气缸组件至少2个：压力0.15-1MPa，行程100mm，配装快插接头、L型支架等。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4）具备PLC主机模块：集成数字量I/O：12DI/8DO；通信端口：RS-485和以太网通信口，配套PLC编程线缆。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5）具备开关电源：可将AC220V转为DC24V。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具备</w:t>
                  </w:r>
                  <w:r>
                    <w:rPr>
                      <w:rFonts w:ascii="仿宋_GB2312" w:hAnsi="仿宋_GB2312" w:cs="仿宋_GB2312" w:eastAsia="仿宋_GB2312"/>
                      <w:sz w:val="24"/>
                    </w:rPr>
                    <w:t>DC扩展端子至少2</w:t>
                  </w:r>
                  <w:r>
                    <w:rPr>
                      <w:rFonts w:ascii="仿宋_GB2312" w:hAnsi="仿宋_GB2312" w:cs="仿宋_GB2312" w:eastAsia="仿宋_GB2312"/>
                      <w:sz w:val="24"/>
                    </w:rPr>
                    <w:t>个</w:t>
                  </w:r>
                  <w:r>
                    <w:rPr>
                      <w:rFonts w:ascii="仿宋_GB2312" w:hAnsi="仿宋_GB2312" w:cs="仿宋_GB2312" w:eastAsia="仿宋_GB2312"/>
                      <w:sz w:val="24"/>
                    </w:rPr>
                    <w:t>：可将直流电源</w:t>
                  </w:r>
                  <w:r>
                    <w:rPr>
                      <w:rFonts w:ascii="仿宋_GB2312" w:hAnsi="仿宋_GB2312" w:cs="仿宋_GB2312" w:eastAsia="仿宋_GB2312"/>
                      <w:sz w:val="24"/>
                    </w:rPr>
                    <w:t>1</w:t>
                  </w:r>
                  <w:r>
                    <w:rPr>
                      <w:rFonts w:ascii="仿宋_GB2312" w:hAnsi="仿宋_GB2312" w:cs="仿宋_GB2312" w:eastAsia="仿宋_GB2312"/>
                      <w:sz w:val="24"/>
                    </w:rPr>
                    <w:t>进</w:t>
                  </w:r>
                  <w:r>
                    <w:rPr>
                      <w:rFonts w:ascii="仿宋_GB2312" w:hAnsi="仿宋_GB2312" w:cs="仿宋_GB2312" w:eastAsia="仿宋_GB2312"/>
                      <w:sz w:val="24"/>
                    </w:rPr>
                    <w:t>10</w:t>
                  </w:r>
                  <w:r>
                    <w:rPr>
                      <w:rFonts w:ascii="仿宋_GB2312" w:hAnsi="仿宋_GB2312" w:cs="仿宋_GB2312" w:eastAsia="仿宋_GB2312"/>
                      <w:sz w:val="24"/>
                    </w:rPr>
                    <w:t>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具备导线</w:t>
                  </w:r>
                  <w:r>
                    <w:rPr>
                      <w:rFonts w:ascii="仿宋_GB2312" w:hAnsi="仿宋_GB2312" w:cs="仿宋_GB2312" w:eastAsia="仿宋_GB2312"/>
                      <w:sz w:val="24"/>
                    </w:rPr>
                    <w:t>、</w:t>
                  </w:r>
                  <w:r>
                    <w:rPr>
                      <w:rFonts w:ascii="仿宋_GB2312" w:hAnsi="仿宋_GB2312" w:cs="仿宋_GB2312" w:eastAsia="仿宋_GB2312"/>
                      <w:sz w:val="24"/>
                    </w:rPr>
                    <w:t>螺丝刀套装等接线工具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具备收纳箱</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9）实训指导书等教学资源。</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3"/>
              <w:gridCol w:w="1477"/>
              <w:gridCol w:w="539"/>
              <w:gridCol w:w="319"/>
              <w:gridCol w:w="323"/>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液压元件拆装模块</w:t>
                  </w:r>
                </w:p>
              </w:tc>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具备以下液压元件</w:t>
                  </w:r>
                  <w:r>
                    <w:rPr>
                      <w:rFonts w:ascii="仿宋_GB2312" w:hAnsi="仿宋_GB2312" w:cs="仿宋_GB2312" w:eastAsia="仿宋_GB2312"/>
                      <w:sz w:val="24"/>
                    </w:rPr>
                    <w:t>：低压齿轮泵至少</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（额定流量</w:t>
                  </w:r>
                  <w:r>
                    <w:rPr>
                      <w:rFonts w:ascii="仿宋_GB2312" w:hAnsi="仿宋_GB2312" w:cs="仿宋_GB2312" w:eastAsia="仿宋_GB2312"/>
                      <w:sz w:val="24"/>
                    </w:rPr>
                    <w:t>≥4L/min,额定压力≥2.5MPa）；叶片泵至少1个（额定排量≥10mL/r,额定压力约6.3MPa）；高压柱塞泵至少1个（额定排量≥2.5mL/r，定量泵，最高压力至31.5MPa）；直动式溢流阀至少1</w:t>
                  </w:r>
                  <w:r>
                    <w:rPr>
                      <w:rFonts w:ascii="仿宋_GB2312" w:hAnsi="仿宋_GB2312" w:cs="仿宋_GB2312" w:eastAsia="仿宋_GB2312"/>
                      <w:sz w:val="24"/>
                    </w:rPr>
                    <w:t>个</w:t>
                  </w:r>
                  <w:r>
                    <w:rPr>
                      <w:rFonts w:ascii="仿宋_GB2312" w:hAnsi="仿宋_GB2312" w:cs="仿宋_GB2312" w:eastAsia="仿宋_GB2312"/>
                      <w:sz w:val="24"/>
                    </w:rPr>
                    <w:t>（额定流量</w:t>
                  </w:r>
                  <w:r>
                    <w:rPr>
                      <w:rFonts w:ascii="仿宋_GB2312" w:hAnsi="仿宋_GB2312" w:cs="仿宋_GB2312" w:eastAsia="仿宋_GB2312"/>
                      <w:sz w:val="24"/>
                    </w:rPr>
                    <w:t>≥10L/min,调压范围最大至2.5MPa）；先导式溢流阀至少1</w:t>
                  </w:r>
                  <w:r>
                    <w:rPr>
                      <w:rFonts w:ascii="仿宋_GB2312" w:hAnsi="仿宋_GB2312" w:cs="仿宋_GB2312" w:eastAsia="仿宋_GB2312"/>
                      <w:sz w:val="24"/>
                    </w:rPr>
                    <w:t>个</w:t>
                  </w:r>
                  <w:r>
                    <w:rPr>
                      <w:rFonts w:ascii="仿宋_GB2312" w:hAnsi="仿宋_GB2312" w:cs="仿宋_GB2312" w:eastAsia="仿宋_GB2312"/>
                      <w:sz w:val="24"/>
                    </w:rPr>
                    <w:t>（额定流量</w:t>
                  </w:r>
                  <w:r>
                    <w:rPr>
                      <w:rFonts w:ascii="仿宋_GB2312" w:hAnsi="仿宋_GB2312" w:cs="仿宋_GB2312" w:eastAsia="仿宋_GB2312"/>
                      <w:sz w:val="24"/>
                    </w:rPr>
                    <w:t>≥10L/min,调压范围最大至6.3MPa）；高压溢流阀至少1</w:t>
                  </w:r>
                  <w:r>
                    <w:rPr>
                      <w:rFonts w:ascii="仿宋_GB2312" w:hAnsi="仿宋_GB2312" w:cs="仿宋_GB2312" w:eastAsia="仿宋_GB2312"/>
                      <w:sz w:val="24"/>
                    </w:rPr>
                    <w:t>个</w:t>
                  </w:r>
                  <w:r>
                    <w:rPr>
                      <w:rFonts w:ascii="仿宋_GB2312" w:hAnsi="仿宋_GB2312" w:cs="仿宋_GB2312" w:eastAsia="仿宋_GB2312"/>
                      <w:sz w:val="24"/>
                    </w:rPr>
                    <w:t>（板式连接结构阀，工作油口压力至</w:t>
                  </w:r>
                  <w:r>
                    <w:rPr>
                      <w:rFonts w:ascii="仿宋_GB2312" w:hAnsi="仿宋_GB2312" w:cs="仿宋_GB2312" w:eastAsia="仿宋_GB2312"/>
                      <w:sz w:val="24"/>
                    </w:rPr>
                    <w:t>35MPa，流量至250L/min）；减压阀至少1</w:t>
                  </w:r>
                  <w:r>
                    <w:rPr>
                      <w:rFonts w:ascii="仿宋_GB2312" w:hAnsi="仿宋_GB2312" w:cs="仿宋_GB2312" w:eastAsia="仿宋_GB2312"/>
                      <w:sz w:val="24"/>
                    </w:rPr>
                    <w:t>个</w:t>
                  </w:r>
                  <w:r>
                    <w:rPr>
                      <w:rFonts w:ascii="仿宋_GB2312" w:hAnsi="仿宋_GB2312" w:cs="仿宋_GB2312" w:eastAsia="仿宋_GB2312"/>
                      <w:sz w:val="24"/>
                    </w:rPr>
                    <w:t>（额定流量</w:t>
                  </w:r>
                  <w:r>
                    <w:rPr>
                      <w:rFonts w:ascii="仿宋_GB2312" w:hAnsi="仿宋_GB2312" w:cs="仿宋_GB2312" w:eastAsia="仿宋_GB2312"/>
                      <w:sz w:val="24"/>
                    </w:rPr>
                    <w:t>≥10L/min,调压范围最大至5MPa）；节流阀至少1</w:t>
                  </w:r>
                  <w:r>
                    <w:rPr>
                      <w:rFonts w:ascii="仿宋_GB2312" w:hAnsi="仿宋_GB2312" w:cs="仿宋_GB2312" w:eastAsia="仿宋_GB2312"/>
                      <w:sz w:val="24"/>
                    </w:rPr>
                    <w:t>个</w:t>
                  </w:r>
                  <w:r>
                    <w:rPr>
                      <w:rFonts w:ascii="仿宋_GB2312" w:hAnsi="仿宋_GB2312" w:cs="仿宋_GB2312" w:eastAsia="仿宋_GB2312"/>
                      <w:sz w:val="24"/>
                    </w:rPr>
                    <w:t>（工作压力至</w:t>
                  </w:r>
                  <w:r>
                    <w:rPr>
                      <w:rFonts w:ascii="仿宋_GB2312" w:hAnsi="仿宋_GB2312" w:cs="仿宋_GB2312" w:eastAsia="仿宋_GB2312"/>
                      <w:sz w:val="24"/>
                    </w:rPr>
                    <w:t>6.3MPa）；单向阀至少1</w:t>
                  </w:r>
                  <w:r>
                    <w:rPr>
                      <w:rFonts w:ascii="仿宋_GB2312" w:hAnsi="仿宋_GB2312" w:cs="仿宋_GB2312" w:eastAsia="仿宋_GB2312"/>
                      <w:sz w:val="24"/>
                    </w:rPr>
                    <w:t>个</w:t>
                  </w:r>
                  <w:r>
                    <w:rPr>
                      <w:rFonts w:ascii="仿宋_GB2312" w:hAnsi="仿宋_GB2312" w:cs="仿宋_GB2312" w:eastAsia="仿宋_GB2312"/>
                      <w:sz w:val="24"/>
                    </w:rPr>
                    <w:t>（工作压力至</w:t>
                  </w:r>
                  <w:r>
                    <w:rPr>
                      <w:rFonts w:ascii="仿宋_GB2312" w:hAnsi="仿宋_GB2312" w:cs="仿宋_GB2312" w:eastAsia="仿宋_GB2312"/>
                      <w:sz w:val="24"/>
                    </w:rPr>
                    <w:t>6.3MPa,板式安装）；换向阀至少1</w:t>
                  </w:r>
                  <w:r>
                    <w:rPr>
                      <w:rFonts w:ascii="仿宋_GB2312" w:hAnsi="仿宋_GB2312" w:cs="仿宋_GB2312" w:eastAsia="仿宋_GB2312"/>
                      <w:sz w:val="24"/>
                    </w:rPr>
                    <w:t>个</w:t>
                  </w:r>
                  <w:r>
                    <w:rPr>
                      <w:rFonts w:ascii="仿宋_GB2312" w:hAnsi="仿宋_GB2312" w:cs="仿宋_GB2312" w:eastAsia="仿宋_GB2312"/>
                      <w:sz w:val="24"/>
                    </w:rPr>
                    <w:t>（三位四通，直流干式</w:t>
                  </w:r>
                  <w:r>
                    <w:rPr>
                      <w:rFonts w:ascii="仿宋_GB2312" w:hAnsi="仿宋_GB2312" w:cs="仿宋_GB2312" w:eastAsia="仿宋_GB2312"/>
                      <w:sz w:val="24"/>
                    </w:rPr>
                    <w:t>24V,额定流量≥10L/min）；高压换向阀至少1</w:t>
                  </w:r>
                  <w:r>
                    <w:rPr>
                      <w:rFonts w:ascii="仿宋_GB2312" w:hAnsi="仿宋_GB2312" w:cs="仿宋_GB2312" w:eastAsia="仿宋_GB2312"/>
                      <w:sz w:val="24"/>
                    </w:rPr>
                    <w:t>个</w:t>
                  </w:r>
                  <w:r>
                    <w:rPr>
                      <w:rFonts w:ascii="仿宋_GB2312" w:hAnsi="仿宋_GB2312" w:cs="仿宋_GB2312" w:eastAsia="仿宋_GB2312"/>
                      <w:sz w:val="24"/>
                    </w:rPr>
                    <w:t>（板式连接结构阀，工作电压</w:t>
                  </w:r>
                  <w:r>
                    <w:rPr>
                      <w:rFonts w:ascii="仿宋_GB2312" w:hAnsi="仿宋_GB2312" w:cs="仿宋_GB2312" w:eastAsia="仿宋_GB2312"/>
                      <w:sz w:val="24"/>
                    </w:rPr>
                    <w:t>DC24V,电磁铁可旋转90</w:t>
                  </w:r>
                  <w:r>
                    <w:rPr>
                      <w:rFonts w:ascii="仿宋_GB2312" w:hAnsi="仿宋_GB2312" w:cs="仿宋_GB2312" w:eastAsia="仿宋_GB2312"/>
                      <w:sz w:val="24"/>
                    </w:rPr>
                    <w:t>º</w:t>
                  </w:r>
                  <w:r>
                    <w:rPr>
                      <w:rFonts w:ascii="仿宋_GB2312" w:hAnsi="仿宋_GB2312" w:cs="仿宋_GB2312" w:eastAsia="仿宋_GB2312"/>
                      <w:sz w:val="24"/>
                    </w:rPr>
                    <w:t>，最高工作压力油口压力</w:t>
                  </w:r>
                  <w:r>
                    <w:rPr>
                      <w:rFonts w:ascii="仿宋_GB2312" w:hAnsi="仿宋_GB2312" w:cs="仿宋_GB2312" w:eastAsia="仿宋_GB2312"/>
                      <w:sz w:val="24"/>
                    </w:rPr>
                    <w:t>35MPa；最大流量80L/min），双作用液压油缸至少1</w:t>
                  </w:r>
                  <w:r>
                    <w:rPr>
                      <w:rFonts w:ascii="仿宋_GB2312" w:hAnsi="仿宋_GB2312" w:cs="仿宋_GB2312" w:eastAsia="仿宋_GB2312"/>
                      <w:sz w:val="24"/>
                    </w:rPr>
                    <w:t>个</w:t>
                  </w:r>
                  <w:r>
                    <w:rPr>
                      <w:rFonts w:ascii="仿宋_GB2312" w:hAnsi="仿宋_GB2312" w:cs="仿宋_GB2312" w:eastAsia="仿宋_GB2312"/>
                      <w:sz w:val="24"/>
                    </w:rPr>
                    <w:t>（单出杆</w:t>
                  </w:r>
                  <w:r>
                    <w:rPr>
                      <w:rFonts w:ascii="仿宋_GB2312" w:hAnsi="仿宋_GB2312" w:cs="仿宋_GB2312" w:eastAsia="仿宋_GB2312"/>
                      <w:sz w:val="24"/>
                    </w:rPr>
                    <w:t>,行程不小于200mm）。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具备以下拆装工具</w:t>
                  </w:r>
                  <w:r>
                    <w:rPr>
                      <w:rFonts w:ascii="仿宋_GB2312" w:hAnsi="仿宋_GB2312" w:cs="仿宋_GB2312" w:eastAsia="仿宋_GB2312"/>
                      <w:sz w:val="24"/>
                    </w:rPr>
                    <w:t>：内六角扳手，卡簧钳，钢尺，活动扳手，活动扳手，螺丝刀，老虎钳。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具备收纳箱</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具备实训指导书或拆装动画等教学资源</w:t>
                  </w:r>
                  <w:r>
                    <w:rPr>
                      <w:rFonts w:ascii="仿宋_GB2312" w:hAnsi="仿宋_GB2312" w:cs="仿宋_GB2312" w:eastAsia="仿宋_GB2312"/>
                      <w:sz w:val="24"/>
                    </w:rPr>
                    <w:t>。</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3"/>
              <w:gridCol w:w="1477"/>
              <w:gridCol w:w="539"/>
              <w:gridCol w:w="319"/>
              <w:gridCol w:w="323"/>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实训室改造</w:t>
                  </w:r>
                </w:p>
              </w:tc>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1.电路改造：用地板线槽在地面上走线。电路具备足够的负荷全部设备能力；电源接口数量足够且有余量；电路布置安全，无人员触电隐患；要设置总电源控制开关，要具备短路、过载、过热保护功能。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具备铁皮文件柜</w:t>
                  </w:r>
                  <w:r>
                    <w:rPr>
                      <w:rFonts w:ascii="仿宋_GB2312" w:hAnsi="仿宋_GB2312" w:cs="仿宋_GB2312" w:eastAsia="仿宋_GB2312"/>
                      <w:sz w:val="24"/>
                    </w:rPr>
                    <w:t>1个：长×宽×高=900*390*1860mm±（10%）；分四层。</w:t>
                  </w:r>
                </w:p>
                <w:p>
                  <w:pPr>
                    <w:pStyle w:val="null3"/>
                    <w:jc w:val="both"/>
                  </w:pPr>
                  <w:r>
                    <w:rPr>
                      <w:rFonts w:ascii="仿宋_GB2312" w:hAnsi="仿宋_GB2312" w:cs="仿宋_GB2312" w:eastAsia="仿宋_GB2312"/>
                      <w:sz w:val="24"/>
                    </w:rPr>
                    <w:t>3.具备仓储架，能够规置物品。</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注：标识</w:t>
            </w:r>
            <w:r>
              <w:rPr>
                <w:rFonts w:ascii="仿宋_GB2312" w:hAnsi="仿宋_GB2312" w:cs="仿宋_GB2312" w:eastAsia="仿宋_GB2312"/>
                <w:sz w:val="21"/>
                <w:b/>
              </w:rPr>
              <w:t>“▲”部分，为重要参数，须提供相对应的生产厂家对外公开发布印刷彩页或技术白皮书或检测报告等证明材料。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合同签订后50天内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试运行1周后组织验收，按照招标文件、投标文件和合同约定进行验收。该项目根据需要设置出厂检验、到货检验、安装调试检验、配套服务检验等多重验收环节。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在承诺的质保期内对所有产品及时进行免费的售后服务，所有产品保修期为3年。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1.进场安装工作人员须佩戴工作牌，提前与采购人约定设备进场安装时间，以不影响采购人日常工作为原则。 2.工完场清，当日作业当日清，机具、工具整理清。 3.安装人员须具备较强的专业技能，严格按照国家相关标准和行业规范进行施工和安装，成交供应商须派技术人员现场进行指导，确保装机质量。 4.成交供应商在成交结果发布后3个工作日内向代理机构提交纸质版响应文件以便于存档，响应文件正本1份，副本2份，电子版文件2份(以U盘为载体，电子版内容包括签字盖章扫描后的PDF版本响应文件)。纸质响应文件均须A4纸打印，分别各自装订成册并编制目录和页码。 5.线下递交响应文件地点:汉中市汉台区西一环路蓝天御苑小区商铺二层门面房南侧。6.如响应文件中融资相关内容与新政策要求有出入，按照最新要求执行。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供应商须为具有独立承担民事责任能力的法人、其他组织或自然人；出具合法有效的营业执照或其他组织经营的合法凭证，自然人参与的提供其身份证明；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商务要求应答表.docx 标的清单 报价表 响应函 监狱企业的证明文件 技术参数响应表.docx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（一）供应商之间协商报价、技术方案等响应文件的实质性内容； （二）属于同一集团、协会、商会等组织成员的供应商按照该组织要求协同参加政府采购活动； （三）供应商之间事先约定由某一特定供应商成交； （四）供应商之间商定部分供应商放弃参加政府采购活动或者放弃成交； （五）供应商与采购人或者采购代理机构之间、供应商相互之间，为谋求特定供应商成交或者排斥其他供应商的其他串通行为。</w:t>
            </w:r>
          </w:p>
        </w:tc>
        <w:tc>
          <w:tcPr>
            <w:tcW w:type="dxa" w:w="1661"/>
          </w:tcPr>
          <w:p>
            <w:pPr>
              <w:pStyle w:val="null3"/>
            </w:pPr>
            <w:r>
              <w:rPr>
                <w:rFonts w:ascii="仿宋_GB2312" w:hAnsi="仿宋_GB2312" w:cs="仿宋_GB2312" w:eastAsia="仿宋_GB2312"/>
              </w:rPr>
              <w:t>业绩一览表.docx 中小企业声明函 商务要求应答表.docx 报价表 技术参数响应表.docx 响应文件封面 供应商应提交的相关资格证明材料.docx 技术响应方案.docx 残疾人福利性单位声明函 标的清单 响应函 产品来源渠道证明材料.docx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响应文件内容齐全、无遗漏，响应内容未出现漏项且与时间要求相符</w:t>
            </w:r>
          </w:p>
        </w:tc>
        <w:tc>
          <w:tcPr>
            <w:tcW w:type="dxa" w:w="1661"/>
          </w:tcPr>
          <w:p>
            <w:pPr>
              <w:pStyle w:val="null3"/>
            </w:pPr>
            <w:r>
              <w:rPr>
                <w:rFonts w:ascii="仿宋_GB2312" w:hAnsi="仿宋_GB2312" w:cs="仿宋_GB2312" w:eastAsia="仿宋_GB2312"/>
              </w:rPr>
              <w:t>业绩一览表.docx 中小企业声明函 商务要求应答表.docx 报价表 技术参数响应表.docx 响应文件封面 供应商应提交的相关资格证明材料.docx 技术响应方案.docx 残疾人福利性单位声明函 标的清单 响应函 产品来源渠道证明材料.docx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中小企业声明函 商务要求应答表.docx 报价表 技术参数响应表.docx 响应文件封面 供应商应提交的相关资格证明材料.docx 技术响应方案.docx 残疾人福利性单位声明函 标的清单 响应函 产品来源渠道证明材料.docx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技术响应方案.docx 商务要求应答表.docx 标的清单 报价表 响应函 产品来源渠道证明材料.docx 技术参数响应表.docx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技术响应方案.docx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根据项目实际需求，提供完整详细的项目实施方案。内容包含:①项目总进度计划②供货组织安排③运输方案④安装调试方案⑤物力调配及保障措施⑥应急及突发事件保障方案。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①项目总进度计划:每完全满足一个评审标准得1分，满分3分: ②供货组织安排:每完全满足一个评审标准得1分，满分3分; ③运输方案:每完全满足一个评审标准得 0.5分，满分 1.5分: ④安装调试方案:每完全满足一个评审标准得 0.5分,满分1.5分: ⑤物力调配及保障措施:每完全满足一个评审标准得1分:满分3分: ⑥应急及突发事件保障方案:每完全满足一个评审标准得1分，满分3分。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针对本项目有具体的质量保证措施。措施完善、详细得3.1-5分；措施基本完善、基本详细得1-3分；无此项内容不得分。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根据供应商制定的售后及维保服务方案，包括服务承诺、服务期限、服务内容、服务方式、应急措施等方面。方案完整合理得3.1-5分；方案基本完整、基本合理得1-3分；无此项内容不得分。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培训方案完整可行，能够提供相对应详细的培训计划、对象、目标等，培训内容有层次，培训方式适用，能够保障采购人能熟练操作维护和正常使用。 方案完整合理得3.1-5分； 方案较基本合理得1-3分； 无此项内容不得分。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渠道来源的证明</w:t>
            </w:r>
          </w:p>
        </w:tc>
        <w:tc>
          <w:tcPr>
            <w:tcW w:type="dxa" w:w="2492"/>
          </w:tcPr>
          <w:p>
            <w:pPr>
              <w:pStyle w:val="null3"/>
            </w:pPr>
            <w:r>
              <w:rPr>
                <w:rFonts w:ascii="仿宋_GB2312" w:hAnsi="仿宋_GB2312" w:cs="仿宋_GB2312" w:eastAsia="仿宋_GB2312"/>
              </w:rPr>
              <w:t>供应商提供所投的产品供货渠道正规，无假货水货翻新货且无知识产权纠纷，质保合格。需提供合法来源渠道证明材料（包括原厂授权书或销售协议或代理协议等） 证明材料种类齐全、详细、充分得3.1-5分； 证明材料较完整得1-3分；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产品来源渠道证明材料.docx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①供应商所投产品完全满足磋商文件技术参数且标识“▲”号技术参数提供相对应的生产厂家对外公开发布印刷彩页或技术白皮书或检测报告等证明材料，得30分； ②标“▲”号参数每负偏离一项扣1分（未提供相对应的生产厂家对外公开发布印刷彩页或技术白皮书或检测报告等证明材料视为负偏离），非“▲”号参数每负偏离一项扣0.5分，扣完为止。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技术参数响应表.docx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供应商提供2022年6月1日至今类似项目业绩，每提供一个得2.5分，最高得5分。（响应文件正副本内需提供合同或中标（成交）通知书复印件并加盖公章）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价格分统一采用低价优先法得算，即满足磋商文件要求且最后报价最低的报价为评审基准价，其价格分为满分。其他供应商的价格分统一按照下列公式得算： 报价得分=(评审基准价／最后报价)×30 注：得算分数时四舍五入取小数点后两位。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详见附件：产品来源渠道证明材料.docx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详见附件：技术参数响应表.docx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详见附件：技术响应方案.docx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