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版本号：SCZD2025-ZB-1510-00120250615001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DRG分析系统采购项目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SCZD2025-ZB-1510-001</w:t>
      </w:r>
      <w:r>
        <w:br/>
      </w:r>
      <w:r>
        <w:br/>
      </w:r>
      <w:r>
        <w:br/>
      </w:r>
    </w:p>
    <w:p>
      <w:pPr>
        <w:pStyle w:val="null3"/>
        <w:jc w:val="center"/>
        <w:outlineLvl w:val="2"/>
      </w:pPr>
      <w:r>
        <w:rPr>
          <w:rFonts w:ascii="仿宋_GB2312" w:hAnsi="仿宋_GB2312" w:cs="仿宋_GB2312" w:eastAsia="仿宋_GB2312"/>
          <w:sz w:val="28"/>
          <w:b/>
        </w:rPr>
        <w:t>汉中市中心医院</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汉中市中心医院</w:t>
      </w:r>
      <w:r>
        <w:rPr>
          <w:rFonts w:ascii="仿宋_GB2312" w:hAnsi="仿宋_GB2312" w:cs="仿宋_GB2312" w:eastAsia="仿宋_GB2312"/>
        </w:rPr>
        <w:t>委托，拟对</w:t>
      </w:r>
      <w:r>
        <w:rPr>
          <w:rFonts w:ascii="仿宋_GB2312" w:hAnsi="仿宋_GB2312" w:cs="仿宋_GB2312" w:eastAsia="仿宋_GB2312"/>
        </w:rPr>
        <w:t>DRG分析系统采购项目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SCZD2025-ZB-1510-001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DRG分析系统采购项目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DRG分析系统1项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采购包1（汉中市中心医院DRG分析系统采购项目）：属于专门面向中小企业采购。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1、特定资格要求：1投标供应商的企业法人营业执照； 2投标供应商参加本项目的合法授权人授权委托书；投标供应商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 3提供盖章的《汉中市政府采购供应商资格承诺函》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汉中市中心医院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汉中市汉台区康复路22号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陈正许</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0916-2682065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西安市高新区锦业路1号都市之门C座9层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曹文渊、雷鹏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029-88497916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银行账号：102461183315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代理服务费收费标准：参照原国家计委计价格〔2002〕1980号文和国家发改委发改办价格〔2003〕857号文的计算方法标准收取。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汉中市中心医院</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汉中市中心医院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汉中市中心医院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符合国家、行业现行的设计、安全、质量等相关标准规范要求，与采购文件、投标（响应）文件和承诺相一致。</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地址：西安市高新区锦业路1号都市之门C座9层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DRG分析系统1项</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DRG分析系统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标的名称：DRG分析系统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一、项目概述</w:t>
            </w:r>
          </w:p>
          <w:p>
            <w:pPr>
              <w:pStyle w:val="null3"/>
              <w:spacing w:before="45" w:after="45"/>
              <w:ind w:firstLine="480"/>
              <w:jc w:val="both"/>
            </w:pPr>
            <w:r>
              <w:rPr>
                <w:rFonts w:ascii="仿宋_GB2312" w:hAnsi="仿宋_GB2312" w:cs="仿宋_GB2312" w:eastAsia="仿宋_GB2312"/>
                <w:sz w:val="24"/>
              </w:rPr>
              <w:t>医院所采购</w:t>
            </w:r>
            <w:r>
              <w:rPr>
                <w:rFonts w:ascii="仿宋_GB2312" w:hAnsi="仿宋_GB2312" w:cs="仿宋_GB2312" w:eastAsia="仿宋_GB2312"/>
                <w:sz w:val="24"/>
              </w:rPr>
              <w:t>DRG</w:t>
            </w:r>
            <w:r>
              <w:rPr>
                <w:rFonts w:ascii="仿宋_GB2312" w:hAnsi="仿宋_GB2312" w:cs="仿宋_GB2312" w:eastAsia="仿宋_GB2312"/>
                <w:sz w:val="24"/>
              </w:rPr>
              <w:t>软件为适应国家三级公立医院绩效监测、陕西省卫健委重点专科评价、陕西省绩效考核及陕西省三级甲等医院复审需求。所采购软件分组须契合国家卫健委三级公立医院绩效监测使用</w:t>
            </w:r>
            <w:r>
              <w:rPr>
                <w:rFonts w:ascii="仿宋_GB2312" w:hAnsi="仿宋_GB2312" w:cs="仿宋_GB2312" w:eastAsia="仿宋_GB2312"/>
                <w:sz w:val="24"/>
              </w:rPr>
              <w:t>DRG</w:t>
            </w:r>
            <w:r>
              <w:rPr>
                <w:rFonts w:ascii="仿宋_GB2312" w:hAnsi="仿宋_GB2312" w:cs="仿宋_GB2312" w:eastAsia="仿宋_GB2312"/>
                <w:sz w:val="24"/>
              </w:rPr>
              <w:t>分组方案或陕西省卫健委对公立医院进行绩效评价所使用的</w:t>
            </w:r>
            <w:r>
              <w:rPr>
                <w:rFonts w:ascii="仿宋_GB2312" w:hAnsi="仿宋_GB2312" w:cs="仿宋_GB2312" w:eastAsia="仿宋_GB2312"/>
                <w:sz w:val="24"/>
              </w:rPr>
              <w:t>DRG</w:t>
            </w:r>
            <w:r>
              <w:rPr>
                <w:rFonts w:ascii="仿宋_GB2312" w:hAnsi="仿宋_GB2312" w:cs="仿宋_GB2312" w:eastAsia="仿宋_GB2312"/>
                <w:sz w:val="24"/>
              </w:rPr>
              <w:t>分组方案。</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b/>
              </w:rPr>
              <w:t>二、</w:t>
            </w:r>
            <w:r>
              <w:rPr>
                <w:rFonts w:ascii="仿宋_GB2312" w:hAnsi="仿宋_GB2312" w:cs="仿宋_GB2312" w:eastAsia="仿宋_GB2312"/>
                <w:sz w:val="24"/>
                <w:b/>
              </w:rPr>
              <w:t>项目要求</w:t>
            </w:r>
          </w:p>
          <w:p>
            <w:pPr>
              <w:pStyle w:val="null3"/>
              <w:jc w:val="both"/>
            </w:pPr>
            <w:r>
              <w:rPr>
                <w:rFonts w:ascii="仿宋_GB2312" w:hAnsi="仿宋_GB2312" w:cs="仿宋_GB2312" w:eastAsia="仿宋_GB2312"/>
                <w:sz w:val="24"/>
                <w:b/>
              </w:rPr>
              <w:t>（一）技术功能要求</w:t>
            </w:r>
          </w:p>
          <w:p>
            <w:pPr>
              <w:pStyle w:val="null3"/>
              <w:spacing w:before="30" w:after="30"/>
              <w:jc w:val="both"/>
            </w:pPr>
            <w:r>
              <w:rPr>
                <w:rFonts w:ascii="仿宋_GB2312" w:hAnsi="仿宋_GB2312" w:cs="仿宋_GB2312" w:eastAsia="仿宋_GB2312"/>
                <w:sz w:val="24"/>
              </w:rPr>
              <w:t>1.</w:t>
            </w:r>
            <w:r>
              <w:rPr>
                <w:rFonts w:ascii="仿宋_GB2312" w:hAnsi="仿宋_GB2312" w:cs="仿宋_GB2312" w:eastAsia="仿宋_GB2312"/>
                <w:sz w:val="24"/>
              </w:rPr>
              <w:t>提供病案首页质控：根据“国考数据质控”规则，提供病案首页质控结果和明细；根据影响</w:t>
            </w:r>
            <w:r>
              <w:rPr>
                <w:rFonts w:ascii="仿宋_GB2312" w:hAnsi="仿宋_GB2312" w:cs="仿宋_GB2312" w:eastAsia="仿宋_GB2312"/>
                <w:sz w:val="24"/>
              </w:rPr>
              <w:t>DRG</w:t>
            </w:r>
            <w:r>
              <w:rPr>
                <w:rFonts w:ascii="仿宋_GB2312" w:hAnsi="仿宋_GB2312" w:cs="仿宋_GB2312" w:eastAsia="仿宋_GB2312"/>
                <w:sz w:val="24"/>
              </w:rPr>
              <w:t>分组的情况，提供质控结果和明细；</w:t>
            </w:r>
          </w:p>
          <w:p>
            <w:pPr>
              <w:pStyle w:val="null3"/>
              <w:spacing w:before="30" w:after="30"/>
              <w:jc w:val="both"/>
            </w:pPr>
            <w:r>
              <w:rPr>
                <w:rFonts w:ascii="仿宋_GB2312" w:hAnsi="仿宋_GB2312" w:cs="仿宋_GB2312" w:eastAsia="仿宋_GB2312"/>
                <w:sz w:val="24"/>
              </w:rPr>
              <w:t>2.</w:t>
            </w:r>
            <w:r>
              <w:rPr>
                <w:rFonts w:ascii="仿宋_GB2312" w:hAnsi="仿宋_GB2312" w:cs="仿宋_GB2312" w:eastAsia="仿宋_GB2312"/>
                <w:sz w:val="24"/>
              </w:rPr>
              <w:t>提供国考涉及病案首页的数据监测：提供基于病案首页生成的三级公立医院绩效监测指标数据的采集、分析、反馈；</w:t>
            </w:r>
          </w:p>
          <w:p>
            <w:pPr>
              <w:pStyle w:val="null3"/>
              <w:spacing w:before="30" w:after="30"/>
              <w:jc w:val="both"/>
            </w:pPr>
            <w:r>
              <w:rPr>
                <w:rFonts w:ascii="仿宋_GB2312" w:hAnsi="仿宋_GB2312" w:cs="仿宋_GB2312" w:eastAsia="仿宋_GB2312"/>
                <w:sz w:val="24"/>
              </w:rPr>
              <w:t>3.</w:t>
            </w:r>
            <w:r>
              <w:rPr>
                <w:rFonts w:ascii="仿宋_GB2312" w:hAnsi="仿宋_GB2312" w:cs="仿宋_GB2312" w:eastAsia="仿宋_GB2312"/>
                <w:sz w:val="24"/>
              </w:rPr>
              <w:t>提供</w:t>
            </w:r>
            <w:r>
              <w:rPr>
                <w:rFonts w:ascii="仿宋_GB2312" w:hAnsi="仿宋_GB2312" w:cs="仿宋_GB2312" w:eastAsia="仿宋_GB2312"/>
                <w:sz w:val="24"/>
              </w:rPr>
              <w:t>DRG</w:t>
            </w:r>
            <w:r>
              <w:rPr>
                <w:rFonts w:ascii="仿宋_GB2312" w:hAnsi="仿宋_GB2312" w:cs="仿宋_GB2312" w:eastAsia="仿宋_GB2312"/>
                <w:sz w:val="24"/>
              </w:rPr>
              <w:t>医疗质量监测：支持院内自由组合的</w:t>
            </w:r>
            <w:r>
              <w:rPr>
                <w:rFonts w:ascii="仿宋_GB2312" w:hAnsi="仿宋_GB2312" w:cs="仿宋_GB2312" w:eastAsia="仿宋_GB2312"/>
                <w:sz w:val="24"/>
              </w:rPr>
              <w:t>DRG</w:t>
            </w:r>
            <w:r>
              <w:rPr>
                <w:rFonts w:ascii="仿宋_GB2312" w:hAnsi="仿宋_GB2312" w:cs="仿宋_GB2312" w:eastAsia="仿宋_GB2312"/>
                <w:sz w:val="24"/>
              </w:rPr>
              <w:t>指标应用方案，支持指标组合的灵活配置功能；</w:t>
            </w:r>
          </w:p>
          <w:p>
            <w:pPr>
              <w:pStyle w:val="null3"/>
              <w:spacing w:before="30" w:after="30"/>
              <w:jc w:val="both"/>
            </w:pPr>
            <w:r>
              <w:rPr>
                <w:rFonts w:ascii="仿宋_GB2312" w:hAnsi="仿宋_GB2312" w:cs="仿宋_GB2312" w:eastAsia="仿宋_GB2312"/>
                <w:sz w:val="24"/>
              </w:rPr>
              <w:t>4.</w:t>
            </w:r>
            <w:r>
              <w:rPr>
                <w:rFonts w:ascii="仿宋_GB2312" w:hAnsi="仿宋_GB2312" w:cs="仿宋_GB2312" w:eastAsia="仿宋_GB2312"/>
                <w:sz w:val="24"/>
              </w:rPr>
              <w:t>提供大数据分析、评价，全国或全省相同指标的标杆值供医院参考。</w:t>
            </w:r>
          </w:p>
          <w:p>
            <w:pPr>
              <w:pStyle w:val="null3"/>
              <w:spacing w:before="30" w:after="30"/>
              <w:jc w:val="both"/>
            </w:pPr>
            <w:r>
              <w:rPr>
                <w:rFonts w:ascii="仿宋_GB2312" w:hAnsi="仿宋_GB2312" w:cs="仿宋_GB2312" w:eastAsia="仿宋_GB2312"/>
                <w:sz w:val="24"/>
              </w:rPr>
              <w:t>5.</w:t>
            </w:r>
            <w:r>
              <w:rPr>
                <w:rFonts w:ascii="仿宋_GB2312" w:hAnsi="仿宋_GB2312" w:cs="仿宋_GB2312" w:eastAsia="仿宋_GB2312"/>
                <w:sz w:val="24"/>
              </w:rPr>
              <w:t>系统符合国家、卫生部等各种标准和规范，符合医院实际需求（包括并不限于进行本地化改造）。</w:t>
            </w:r>
          </w:p>
          <w:p>
            <w:pPr>
              <w:pStyle w:val="null3"/>
              <w:spacing w:before="30" w:after="30"/>
              <w:jc w:val="both"/>
            </w:pPr>
            <w:r>
              <w:rPr>
                <w:rFonts w:ascii="仿宋_GB2312" w:hAnsi="仿宋_GB2312" w:cs="仿宋_GB2312" w:eastAsia="仿宋_GB2312"/>
                <w:sz w:val="24"/>
              </w:rPr>
              <w:t>6.</w:t>
            </w:r>
            <w:r>
              <w:rPr>
                <w:rFonts w:ascii="仿宋_GB2312" w:hAnsi="仿宋_GB2312" w:cs="仿宋_GB2312" w:eastAsia="仿宋_GB2312"/>
                <w:sz w:val="24"/>
              </w:rPr>
              <w:t>系统支持按接口提取数据和离线导入方式采集相关数据。项目为“交钥匙”工程，建设内容中包括与院内其它涉及本系统正常运行所需数据交互的所有数据库及业务信息系统对接接口，包括并不限于：医院信息系统（</w:t>
            </w:r>
            <w:r>
              <w:rPr>
                <w:rFonts w:ascii="仿宋_GB2312" w:hAnsi="仿宋_GB2312" w:cs="仿宋_GB2312" w:eastAsia="仿宋_GB2312"/>
                <w:sz w:val="24"/>
              </w:rPr>
              <w:t>HIS</w:t>
            </w:r>
            <w:r>
              <w:rPr>
                <w:rFonts w:ascii="仿宋_GB2312" w:hAnsi="仿宋_GB2312" w:cs="仿宋_GB2312" w:eastAsia="仿宋_GB2312"/>
                <w:sz w:val="24"/>
              </w:rPr>
              <w:t>）、电子病历系统（</w:t>
            </w:r>
            <w:r>
              <w:rPr>
                <w:rFonts w:ascii="仿宋_GB2312" w:hAnsi="仿宋_GB2312" w:cs="仿宋_GB2312" w:eastAsia="仿宋_GB2312"/>
                <w:sz w:val="24"/>
              </w:rPr>
              <w:t>EMR</w:t>
            </w:r>
            <w:r>
              <w:rPr>
                <w:rFonts w:ascii="仿宋_GB2312" w:hAnsi="仿宋_GB2312" w:cs="仿宋_GB2312" w:eastAsia="仿宋_GB2312"/>
                <w:sz w:val="24"/>
              </w:rPr>
              <w:t>）、病案信息系统、信息集成平台等，投标人承担接口开发和对接服务所产生的所有费用。</w:t>
            </w:r>
          </w:p>
          <w:p>
            <w:pPr>
              <w:pStyle w:val="null3"/>
              <w:spacing w:before="30" w:after="30"/>
              <w:jc w:val="both"/>
            </w:pPr>
            <w:r>
              <w:rPr>
                <w:rFonts w:ascii="仿宋_GB2312" w:hAnsi="仿宋_GB2312" w:cs="仿宋_GB2312" w:eastAsia="仿宋_GB2312"/>
                <w:sz w:val="24"/>
              </w:rPr>
              <w:t>7.</w:t>
            </w:r>
            <w:r>
              <w:rPr>
                <w:rFonts w:ascii="仿宋_GB2312" w:hAnsi="仿宋_GB2312" w:cs="仿宋_GB2312" w:eastAsia="仿宋_GB2312"/>
                <w:sz w:val="24"/>
              </w:rPr>
              <w:t>系统能根据不同需求维度，自动生成完整分析报告（包括但不限于</w:t>
            </w:r>
            <w:r>
              <w:rPr>
                <w:rFonts w:ascii="仿宋_GB2312" w:hAnsi="仿宋_GB2312" w:cs="仿宋_GB2312" w:eastAsia="仿宋_GB2312"/>
                <w:sz w:val="24"/>
              </w:rPr>
              <w:t>WORD</w:t>
            </w:r>
            <w:r>
              <w:rPr>
                <w:rFonts w:ascii="仿宋_GB2312" w:hAnsi="仿宋_GB2312" w:cs="仿宋_GB2312" w:eastAsia="仿宋_GB2312"/>
                <w:sz w:val="24"/>
              </w:rPr>
              <w:t>、</w:t>
            </w:r>
            <w:r>
              <w:rPr>
                <w:rFonts w:ascii="仿宋_GB2312" w:hAnsi="仿宋_GB2312" w:cs="仿宋_GB2312" w:eastAsia="仿宋_GB2312"/>
                <w:sz w:val="24"/>
              </w:rPr>
              <w:t>PDF</w:t>
            </w:r>
            <w:r>
              <w:rPr>
                <w:rFonts w:ascii="仿宋_GB2312" w:hAnsi="仿宋_GB2312" w:cs="仿宋_GB2312" w:eastAsia="仿宋_GB2312"/>
                <w:sz w:val="24"/>
              </w:rPr>
              <w:t>等格式）。</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4"/>
              </w:rPr>
              <w:t>（二）功能模块要求</w:t>
            </w:r>
          </w:p>
          <w:tbl>
            <w:tblPr>
              <w:tblInd w:type="dxa" w:w="90"/>
              <w:tblBorders>
                <w:top w:val="single"/>
                <w:left w:val="single"/>
                <w:bottom w:val="single"/>
                <w:right w:val="single"/>
                <w:insideH w:val="single"/>
                <w:insideV w:val="single"/>
              </w:tblBorders>
            </w:tblPr>
            <w:tblGrid>
              <w:gridCol w:w="303"/>
              <w:gridCol w:w="312"/>
              <w:gridCol w:w="1936"/>
            </w:tblGrid>
            <w:tr>
              <w:tc>
                <w:tcPr>
                  <w:tcW w:type="dxa" w:w="303"/>
                  <w:tcBorders>
                    <w:top w:val="single" w:color="000000" w:sz="4"/>
                    <w:left w:val="single" w:color="000000" w:sz="4"/>
                    <w:bottom w:val="single" w:color="000000" w:sz="4"/>
                    <w:right w:val="non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主要功能要求</w:t>
                  </w:r>
                </w:p>
              </w:tc>
              <w:tc>
                <w:tcPr>
                  <w:tcW w:type="dxa" w:w="2248"/>
                  <w:gridSpan w:val="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color w:val="000000"/>
                    </w:rPr>
                    <w:t>技术参数及要求</w:t>
                  </w:r>
                </w:p>
              </w:tc>
            </w:tr>
            <w:tr>
              <w:tc>
                <w:tcPr>
                  <w:tcW w:type="dxa" w:w="30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color w:val="000000"/>
                    </w:rPr>
                    <w:t>功能模块要求</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1.1</w:t>
                  </w:r>
                </w:p>
              </w:tc>
              <w:tc>
                <w:tcPr>
                  <w:tcW w:type="dxa" w:w="1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基于</w:t>
                  </w:r>
                  <w:r>
                    <w:rPr>
                      <w:rFonts w:ascii="仿宋_GB2312" w:hAnsi="仿宋_GB2312" w:cs="仿宋_GB2312" w:eastAsia="仿宋_GB2312"/>
                      <w:sz w:val="21"/>
                      <w:color w:val="000000"/>
                    </w:rPr>
                    <w:t>DRG</w:t>
                  </w:r>
                  <w:r>
                    <w:rPr>
                      <w:rFonts w:ascii="仿宋_GB2312" w:hAnsi="仿宋_GB2312" w:cs="仿宋_GB2312" w:eastAsia="仿宋_GB2312"/>
                      <w:sz w:val="21"/>
                      <w:color w:val="000000"/>
                    </w:rPr>
                    <w:t>的医疗质量分析系统</w:t>
                  </w:r>
                </w:p>
              </w:tc>
            </w:tr>
            <w:tr>
              <w:tc>
                <w:tcPr>
                  <w:tcW w:type="dxa" w:w="303"/>
                  <w:vMerge/>
                  <w:tcBorders>
                    <w:top w:val="none" w:color="000000" w:sz="4"/>
                    <w:left w:val="single" w:color="000000" w:sz="4"/>
                    <w:bottom w:val="single" w:color="000000" w:sz="4"/>
                    <w:right w:val="single" w:color="000000" w:sz="4"/>
                  </w:tcBorders>
                </w:tcP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1.1.1</w:t>
                  </w:r>
                </w:p>
              </w:tc>
              <w:tc>
                <w:tcPr>
                  <w:tcW w:type="dxa" w:w="1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数据采集功能：支持病案首页数据采集功能，满足国家公立医院绩效考核数据接口标准，支持西医与中医的卫统数据格式。支持</w:t>
                  </w:r>
                  <w:r>
                    <w:rPr>
                      <w:rFonts w:ascii="仿宋_GB2312" w:hAnsi="仿宋_GB2312" w:cs="仿宋_GB2312" w:eastAsia="仿宋_GB2312"/>
                      <w:sz w:val="21"/>
                      <w:color w:val="000000"/>
                    </w:rPr>
                    <w:t>DBF</w:t>
                  </w:r>
                  <w:r>
                    <w:rPr>
                      <w:rFonts w:ascii="仿宋_GB2312" w:hAnsi="仿宋_GB2312" w:cs="仿宋_GB2312" w:eastAsia="仿宋_GB2312"/>
                      <w:sz w:val="21"/>
                      <w:color w:val="000000"/>
                    </w:rPr>
                    <w:t>、</w:t>
                  </w:r>
                  <w:r>
                    <w:rPr>
                      <w:rFonts w:ascii="仿宋_GB2312" w:hAnsi="仿宋_GB2312" w:cs="仿宋_GB2312" w:eastAsia="仿宋_GB2312"/>
                      <w:sz w:val="21"/>
                      <w:color w:val="000000"/>
                    </w:rPr>
                    <w:t>CSV</w:t>
                  </w:r>
                  <w:r>
                    <w:rPr>
                      <w:rFonts w:ascii="仿宋_GB2312" w:hAnsi="仿宋_GB2312" w:cs="仿宋_GB2312" w:eastAsia="仿宋_GB2312"/>
                      <w:sz w:val="21"/>
                      <w:color w:val="000000"/>
                    </w:rPr>
                    <w:t>、</w:t>
                  </w:r>
                  <w:r>
                    <w:rPr>
                      <w:rFonts w:ascii="仿宋_GB2312" w:hAnsi="仿宋_GB2312" w:cs="仿宋_GB2312" w:eastAsia="仿宋_GB2312"/>
                      <w:sz w:val="21"/>
                      <w:color w:val="000000"/>
                    </w:rPr>
                    <w:t>Excel</w:t>
                  </w:r>
                  <w:r>
                    <w:rPr>
                      <w:rFonts w:ascii="仿宋_GB2312" w:hAnsi="仿宋_GB2312" w:cs="仿宋_GB2312" w:eastAsia="仿宋_GB2312"/>
                      <w:sz w:val="21"/>
                      <w:color w:val="000000"/>
                    </w:rPr>
                    <w:t>文件格式，支持数据覆盖和添加。</w:t>
                  </w:r>
                </w:p>
              </w:tc>
            </w:tr>
            <w:tr>
              <w:tc>
                <w:tcPr>
                  <w:tcW w:type="dxa" w:w="303"/>
                  <w:vMerge/>
                  <w:tcBorders>
                    <w:top w:val="none" w:color="000000" w:sz="4"/>
                    <w:left w:val="single" w:color="000000" w:sz="4"/>
                    <w:bottom w:val="single" w:color="000000" w:sz="4"/>
                    <w:right w:val="single" w:color="000000" w:sz="4"/>
                  </w:tcBorders>
                </w:tcP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1.1.2</w:t>
                  </w:r>
                </w:p>
              </w:tc>
              <w:tc>
                <w:tcPr>
                  <w:tcW w:type="dxa" w:w="1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数据量查询功能：支持自定义时段查看数据上报质量及入组率等指标，指标包含：时间、上报数量、合格病案数、入组率、审核错误病案数等。帮助医院及时对首页数据进行整改，确保数据分析的合理性与准确性。</w:t>
                  </w:r>
                </w:p>
              </w:tc>
            </w:tr>
            <w:tr>
              <w:tc>
                <w:tcPr>
                  <w:tcW w:type="dxa" w:w="303"/>
                  <w:vMerge/>
                  <w:tcBorders>
                    <w:top w:val="none" w:color="000000" w:sz="4"/>
                    <w:left w:val="single" w:color="000000" w:sz="4"/>
                    <w:bottom w:val="single" w:color="000000" w:sz="4"/>
                    <w:right w:val="single" w:color="000000" w:sz="4"/>
                  </w:tcBorders>
                </w:tcPr>
                <w:p/>
              </w:tc>
              <w:tc>
                <w:tcPr>
                  <w:tcW w:type="dxa" w:w="31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1.1.3</w:t>
                  </w:r>
                </w:p>
              </w:tc>
              <w:tc>
                <w:tcPr>
                  <w:tcW w:type="dxa" w:w="1936"/>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数据质控功能：</w:t>
                  </w:r>
                </w:p>
              </w:tc>
            </w:tr>
            <w:tr>
              <w:tc>
                <w:tcPr>
                  <w:tcW w:type="dxa" w:w="303"/>
                  <w:vMerge/>
                  <w:tcBorders>
                    <w:top w:val="none" w:color="000000" w:sz="4"/>
                    <w:left w:val="single" w:color="000000" w:sz="4"/>
                    <w:bottom w:val="single" w:color="000000" w:sz="4"/>
                    <w:right w:val="single" w:color="000000" w:sz="4"/>
                  </w:tcBorders>
                </w:tcPr>
                <w:p/>
              </w:tc>
              <w:tc>
                <w:tcPr>
                  <w:tcW w:type="dxa" w:w="312"/>
                  <w:vMerge/>
                  <w:tcBorders>
                    <w:top w:val="none" w:color="000000" w:sz="4"/>
                    <w:left w:val="none" w:color="000000" w:sz="4"/>
                    <w:bottom w:val="single" w:color="000000" w:sz="4"/>
                    <w:right w:val="single" w:color="000000" w:sz="4"/>
                  </w:tcBorders>
                </w:tcPr>
                <w:p/>
              </w:tc>
              <w:tc>
                <w:tcPr>
                  <w:tcW w:type="dxa" w:w="1936"/>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为保证</w:t>
                  </w:r>
                  <w:r>
                    <w:rPr>
                      <w:rFonts w:ascii="仿宋_GB2312" w:hAnsi="仿宋_GB2312" w:cs="仿宋_GB2312" w:eastAsia="仿宋_GB2312"/>
                      <w:sz w:val="21"/>
                      <w:color w:val="000000"/>
                    </w:rPr>
                    <w:t>DRG</w:t>
                  </w:r>
                  <w:r>
                    <w:rPr>
                      <w:rFonts w:ascii="仿宋_GB2312" w:hAnsi="仿宋_GB2312" w:cs="仿宋_GB2312" w:eastAsia="仿宋_GB2312"/>
                      <w:sz w:val="21"/>
                      <w:color w:val="000000"/>
                    </w:rPr>
                    <w:t>数据分析的真实有效，对数据完整性、合理性、准确性进行审核，系统需至少提供以下数据审核服务：</w:t>
                  </w:r>
                </w:p>
              </w:tc>
            </w:tr>
            <w:tr>
              <w:tc>
                <w:tcPr>
                  <w:tcW w:type="dxa" w:w="303"/>
                  <w:vMerge/>
                  <w:tcBorders>
                    <w:top w:val="none" w:color="000000" w:sz="4"/>
                    <w:left w:val="single" w:color="000000" w:sz="4"/>
                    <w:bottom w:val="single" w:color="000000" w:sz="4"/>
                    <w:right w:val="single" w:color="000000" w:sz="4"/>
                  </w:tcBorders>
                </w:tcPr>
                <w:p/>
              </w:tc>
              <w:tc>
                <w:tcPr>
                  <w:tcW w:type="dxa" w:w="312"/>
                  <w:vMerge/>
                  <w:tcBorders>
                    <w:top w:val="none" w:color="000000" w:sz="4"/>
                    <w:left w:val="none" w:color="000000" w:sz="4"/>
                    <w:bottom w:val="single" w:color="000000" w:sz="4"/>
                    <w:right w:val="single" w:color="000000" w:sz="4"/>
                  </w:tcBorders>
                </w:tcPr>
                <w:p/>
              </w:tc>
              <w:tc>
                <w:tcPr>
                  <w:tcW w:type="dxa" w:w="1936"/>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支持完整性校验功能：对首页数据必填项及相关数据内容进行校验。如：总费用不可为空，离院方式不可为空等。</w:t>
                  </w:r>
                </w:p>
              </w:tc>
            </w:tr>
            <w:tr>
              <w:tc>
                <w:tcPr>
                  <w:tcW w:type="dxa" w:w="303"/>
                  <w:vMerge/>
                  <w:tcBorders>
                    <w:top w:val="none" w:color="000000" w:sz="4"/>
                    <w:left w:val="single" w:color="000000" w:sz="4"/>
                    <w:bottom w:val="single" w:color="000000" w:sz="4"/>
                    <w:right w:val="single" w:color="000000" w:sz="4"/>
                  </w:tcBorders>
                </w:tcPr>
                <w:p/>
              </w:tc>
              <w:tc>
                <w:tcPr>
                  <w:tcW w:type="dxa" w:w="312"/>
                  <w:vMerge/>
                  <w:tcBorders>
                    <w:top w:val="none" w:color="000000" w:sz="4"/>
                    <w:left w:val="none" w:color="000000" w:sz="4"/>
                    <w:bottom w:val="single" w:color="000000" w:sz="4"/>
                    <w:right w:val="single" w:color="000000" w:sz="4"/>
                  </w:tcBorders>
                </w:tcPr>
                <w:p/>
              </w:tc>
              <w:tc>
                <w:tcPr>
                  <w:tcW w:type="dxa" w:w="1936"/>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支持规范性校验功能：对首页数据进行规范性校验，检查数据内容是否符合值域范围要求、是否符合编码规范。如：字段要求的值域不符、无效主诊、非标准编码、新生儿诊断错误等。</w:t>
                  </w:r>
                </w:p>
              </w:tc>
            </w:tr>
            <w:tr>
              <w:tc>
                <w:tcPr>
                  <w:tcW w:type="dxa" w:w="303"/>
                  <w:vMerge/>
                  <w:tcBorders>
                    <w:top w:val="none" w:color="000000" w:sz="4"/>
                    <w:left w:val="single" w:color="000000" w:sz="4"/>
                    <w:bottom w:val="single" w:color="000000" w:sz="4"/>
                    <w:right w:val="single" w:color="000000" w:sz="4"/>
                  </w:tcBorders>
                </w:tcPr>
                <w:p/>
              </w:tc>
              <w:tc>
                <w:tcPr>
                  <w:tcW w:type="dxa" w:w="312"/>
                  <w:vMerge/>
                  <w:tcBorders>
                    <w:top w:val="none" w:color="000000" w:sz="4"/>
                    <w:left w:val="none" w:color="000000" w:sz="4"/>
                    <w:bottom w:val="single" w:color="000000" w:sz="4"/>
                    <w:right w:val="single" w:color="000000" w:sz="4"/>
                  </w:tcBorders>
                </w:tcPr>
                <w:p/>
              </w:tc>
              <w:tc>
                <w:tcPr>
                  <w:tcW w:type="dxa" w:w="1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支持合理性校验功能：对首页数据进行逻辑性校验，排除不合理错误。如：疾病诊断</w:t>
                  </w:r>
                  <w:r>
                    <w:rPr>
                      <w:rFonts w:ascii="仿宋_GB2312" w:hAnsi="仿宋_GB2312" w:cs="仿宋_GB2312" w:eastAsia="仿宋_GB2312"/>
                      <w:sz w:val="21"/>
                      <w:color w:val="000000"/>
                    </w:rPr>
                    <w:t>/</w:t>
                  </w:r>
                  <w:r>
                    <w:rPr>
                      <w:rFonts w:ascii="仿宋_GB2312" w:hAnsi="仿宋_GB2312" w:cs="仿宋_GB2312" w:eastAsia="仿宋_GB2312"/>
                      <w:sz w:val="21"/>
                      <w:color w:val="000000"/>
                    </w:rPr>
                    <w:t>手术编码性别错误，性别与诊断不匹配，无死亡风险主要诊断转归死亡，各项住院费用之和不等于总费用等。</w:t>
                  </w:r>
                </w:p>
              </w:tc>
            </w:tr>
            <w:tr>
              <w:tc>
                <w:tcPr>
                  <w:tcW w:type="dxa" w:w="303"/>
                  <w:vMerge/>
                  <w:tcBorders>
                    <w:top w:val="none" w:color="000000" w:sz="4"/>
                    <w:left w:val="single" w:color="000000" w:sz="4"/>
                    <w:bottom w:val="single" w:color="000000" w:sz="4"/>
                    <w:right w:val="single" w:color="000000" w:sz="4"/>
                  </w:tcBorders>
                </w:tcP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1.1.4</w:t>
                  </w:r>
                </w:p>
              </w:tc>
              <w:tc>
                <w:tcPr>
                  <w:tcW w:type="dxa" w:w="1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分组器</w:t>
                  </w:r>
                </w:p>
              </w:tc>
            </w:tr>
            <w:tr>
              <w:tc>
                <w:tcPr>
                  <w:tcW w:type="dxa" w:w="303"/>
                  <w:vMerge/>
                  <w:tcBorders>
                    <w:top w:val="none" w:color="000000" w:sz="4"/>
                    <w:left w:val="single" w:color="000000" w:sz="4"/>
                    <w:bottom w:val="single" w:color="000000" w:sz="4"/>
                    <w:right w:val="single" w:color="000000" w:sz="4"/>
                  </w:tcBorders>
                </w:tcPr>
                <w:p/>
              </w:tc>
              <w:tc>
                <w:tcPr>
                  <w:tcW w:type="dxa" w:w="31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1.1.4.1</w:t>
                  </w:r>
                </w:p>
              </w:tc>
              <w:tc>
                <w:tcPr>
                  <w:tcW w:type="dxa" w:w="1936"/>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DRG</w:t>
                  </w:r>
                  <w:r>
                    <w:rPr>
                      <w:rFonts w:ascii="仿宋_GB2312" w:hAnsi="仿宋_GB2312" w:cs="仿宋_GB2312" w:eastAsia="仿宋_GB2312"/>
                      <w:sz w:val="21"/>
                      <w:color w:val="000000"/>
                    </w:rPr>
                    <w:t>分组器</w:t>
                  </w:r>
                </w:p>
              </w:tc>
            </w:tr>
            <w:tr>
              <w:tc>
                <w:tcPr>
                  <w:tcW w:type="dxa" w:w="303"/>
                  <w:vMerge/>
                  <w:tcBorders>
                    <w:top w:val="none" w:color="000000" w:sz="4"/>
                    <w:left w:val="single" w:color="000000" w:sz="4"/>
                    <w:bottom w:val="single" w:color="000000" w:sz="4"/>
                    <w:right w:val="single" w:color="000000" w:sz="4"/>
                  </w:tcBorders>
                </w:tcPr>
                <w:p/>
              </w:tc>
              <w:tc>
                <w:tcPr>
                  <w:tcW w:type="dxa" w:w="312"/>
                  <w:vMerge/>
                  <w:tcBorders>
                    <w:top w:val="none" w:color="000000" w:sz="4"/>
                    <w:left w:val="none" w:color="000000" w:sz="4"/>
                    <w:bottom w:val="single" w:color="000000" w:sz="4"/>
                    <w:right w:val="single" w:color="000000" w:sz="4"/>
                  </w:tcBorders>
                </w:tcPr>
                <w:p/>
              </w:tc>
              <w:tc>
                <w:tcPr>
                  <w:tcW w:type="dxa" w:w="1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部署在院内的基于</w:t>
                  </w:r>
                  <w:r>
                    <w:rPr>
                      <w:rFonts w:ascii="仿宋_GB2312" w:hAnsi="仿宋_GB2312" w:cs="仿宋_GB2312" w:eastAsia="仿宋_GB2312"/>
                      <w:sz w:val="21"/>
                      <w:color w:val="000000"/>
                    </w:rPr>
                    <w:t>DRG</w:t>
                  </w:r>
                  <w:r>
                    <w:rPr>
                      <w:rFonts w:ascii="仿宋_GB2312" w:hAnsi="仿宋_GB2312" w:cs="仿宋_GB2312" w:eastAsia="仿宋_GB2312"/>
                      <w:sz w:val="21"/>
                      <w:color w:val="000000"/>
                    </w:rPr>
                    <w:t>的医院绩效分析管理的分组器应与国家卫健委三级公立医院绩效监测使用版本或者陕西省卫健部门用于省内医院绩效管理与医院评价的分组器版本相同，功能一致。</w:t>
                  </w:r>
                  <w:r>
                    <w:rPr>
                      <w:rFonts w:ascii="仿宋_GB2312" w:hAnsi="仿宋_GB2312" w:cs="仿宋_GB2312" w:eastAsia="仿宋_GB2312"/>
                      <w:sz w:val="21"/>
                      <w:color w:val="000000"/>
                    </w:rPr>
                    <w:t>DRG</w:t>
                  </w:r>
                  <w:r>
                    <w:rPr>
                      <w:rFonts w:ascii="仿宋_GB2312" w:hAnsi="仿宋_GB2312" w:cs="仿宋_GB2312" w:eastAsia="仿宋_GB2312"/>
                      <w:sz w:val="21"/>
                      <w:color w:val="000000"/>
                    </w:rPr>
                    <w:t>分组器需在院内安装，需使用多维度对相对权重</w:t>
                  </w:r>
                  <w:r>
                    <w:rPr>
                      <w:rFonts w:ascii="仿宋_GB2312" w:hAnsi="仿宋_GB2312" w:cs="仿宋_GB2312" w:eastAsia="仿宋_GB2312"/>
                      <w:sz w:val="21"/>
                      <w:color w:val="000000"/>
                    </w:rPr>
                    <w:t>RW</w:t>
                  </w:r>
                  <w:r>
                    <w:rPr>
                      <w:rFonts w:ascii="仿宋_GB2312" w:hAnsi="仿宋_GB2312" w:cs="仿宋_GB2312" w:eastAsia="仿宋_GB2312"/>
                      <w:sz w:val="21"/>
                      <w:color w:val="000000"/>
                    </w:rPr>
                    <w:t>进行设置，即</w:t>
                  </w:r>
                  <w:r>
                    <w:rPr>
                      <w:rFonts w:ascii="仿宋_GB2312" w:hAnsi="仿宋_GB2312" w:cs="仿宋_GB2312" w:eastAsia="仿宋_GB2312"/>
                      <w:sz w:val="21"/>
                      <w:color w:val="000000"/>
                    </w:rPr>
                    <w:t>DRG</w:t>
                  </w:r>
                  <w:r>
                    <w:rPr>
                      <w:rFonts w:ascii="仿宋_GB2312" w:hAnsi="仿宋_GB2312" w:cs="仿宋_GB2312" w:eastAsia="仿宋_GB2312"/>
                      <w:sz w:val="21"/>
                      <w:color w:val="000000"/>
                    </w:rPr>
                    <w:t>组的疑难程度、风险程度和消耗资源的多少。系统需提供分组明细查询，可下载每个病例的详细</w:t>
                  </w:r>
                  <w:r>
                    <w:rPr>
                      <w:rFonts w:ascii="仿宋_GB2312" w:hAnsi="仿宋_GB2312" w:cs="仿宋_GB2312" w:eastAsia="仿宋_GB2312"/>
                      <w:sz w:val="21"/>
                      <w:color w:val="000000"/>
                    </w:rPr>
                    <w:t>DRG</w:t>
                  </w:r>
                  <w:r>
                    <w:rPr>
                      <w:rFonts w:ascii="仿宋_GB2312" w:hAnsi="仿宋_GB2312" w:cs="仿宋_GB2312" w:eastAsia="仿宋_GB2312"/>
                      <w:sz w:val="21"/>
                      <w:color w:val="000000"/>
                    </w:rPr>
                    <w:t>入组明细。明细应至少包含：病案号，出院时间，病人性别、年龄、主要诊断、次要诊断、主手术等基本信息，</w:t>
                  </w:r>
                  <w:r>
                    <w:rPr>
                      <w:rFonts w:ascii="仿宋_GB2312" w:hAnsi="仿宋_GB2312" w:cs="仿宋_GB2312" w:eastAsia="仿宋_GB2312"/>
                      <w:sz w:val="21"/>
                      <w:color w:val="000000"/>
                    </w:rPr>
                    <w:t>DRG</w:t>
                  </w:r>
                  <w:r>
                    <w:rPr>
                      <w:rFonts w:ascii="仿宋_GB2312" w:hAnsi="仿宋_GB2312" w:cs="仿宋_GB2312" w:eastAsia="仿宋_GB2312"/>
                      <w:sz w:val="21"/>
                      <w:color w:val="000000"/>
                    </w:rPr>
                    <w:t>组代码，</w:t>
                  </w:r>
                  <w:r>
                    <w:rPr>
                      <w:rFonts w:ascii="仿宋_GB2312" w:hAnsi="仿宋_GB2312" w:cs="仿宋_GB2312" w:eastAsia="仿宋_GB2312"/>
                      <w:sz w:val="21"/>
                      <w:color w:val="000000"/>
                    </w:rPr>
                    <w:t>DRG</w:t>
                  </w:r>
                  <w:r>
                    <w:rPr>
                      <w:rFonts w:ascii="仿宋_GB2312" w:hAnsi="仿宋_GB2312" w:cs="仿宋_GB2312" w:eastAsia="仿宋_GB2312"/>
                      <w:sz w:val="21"/>
                      <w:color w:val="000000"/>
                    </w:rPr>
                    <w:t>组名称等。</w:t>
                  </w:r>
                </w:p>
              </w:tc>
            </w:tr>
            <w:tr>
              <w:tc>
                <w:tcPr>
                  <w:tcW w:type="dxa" w:w="303"/>
                  <w:vMerge/>
                  <w:tcBorders>
                    <w:top w:val="none" w:color="000000" w:sz="4"/>
                    <w:left w:val="single" w:color="000000" w:sz="4"/>
                    <w:bottom w:val="single" w:color="000000" w:sz="4"/>
                    <w:right w:val="single" w:color="000000" w:sz="4"/>
                  </w:tcBorders>
                </w:tcPr>
                <w:p/>
              </w:tc>
              <w:tc>
                <w:tcPr>
                  <w:tcW w:type="dxa" w:w="31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1.1.4.2</w:t>
                  </w:r>
                </w:p>
              </w:tc>
              <w:tc>
                <w:tcPr>
                  <w:tcW w:type="dxa" w:w="1936"/>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重点监控病种</w:t>
                  </w:r>
                  <w:r>
                    <w:rPr>
                      <w:rFonts w:ascii="仿宋_GB2312" w:hAnsi="仿宋_GB2312" w:cs="仿宋_GB2312" w:eastAsia="仿宋_GB2312"/>
                      <w:sz w:val="21"/>
                      <w:color w:val="000000"/>
                    </w:rPr>
                    <w:t>/</w:t>
                  </w:r>
                  <w:r>
                    <w:rPr>
                      <w:rFonts w:ascii="仿宋_GB2312" w:hAnsi="仿宋_GB2312" w:cs="仿宋_GB2312" w:eastAsia="仿宋_GB2312"/>
                      <w:sz w:val="21"/>
                      <w:color w:val="000000"/>
                    </w:rPr>
                    <w:t>术种分组功能</w:t>
                  </w:r>
                </w:p>
              </w:tc>
            </w:tr>
            <w:tr>
              <w:tc>
                <w:tcPr>
                  <w:tcW w:type="dxa" w:w="303"/>
                  <w:vMerge/>
                  <w:tcBorders>
                    <w:top w:val="none" w:color="000000" w:sz="4"/>
                    <w:left w:val="single" w:color="000000" w:sz="4"/>
                    <w:bottom w:val="single" w:color="000000" w:sz="4"/>
                    <w:right w:val="single" w:color="000000" w:sz="4"/>
                  </w:tcBorders>
                </w:tcPr>
                <w:p/>
              </w:tc>
              <w:tc>
                <w:tcPr>
                  <w:tcW w:type="dxa" w:w="312"/>
                  <w:vMerge/>
                  <w:tcBorders>
                    <w:top w:val="none" w:color="000000" w:sz="4"/>
                    <w:left w:val="none" w:color="000000" w:sz="4"/>
                    <w:bottom w:val="single" w:color="000000" w:sz="4"/>
                    <w:right w:val="single" w:color="000000" w:sz="4"/>
                  </w:tcBorders>
                </w:tcPr>
                <w:p/>
              </w:tc>
              <w:tc>
                <w:tcPr>
                  <w:tcW w:type="dxa" w:w="1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支持具有自主知识产权的重点监控病种</w:t>
                  </w:r>
                  <w:r>
                    <w:rPr>
                      <w:rFonts w:ascii="仿宋_GB2312" w:hAnsi="仿宋_GB2312" w:cs="仿宋_GB2312" w:eastAsia="仿宋_GB2312"/>
                      <w:sz w:val="21"/>
                      <w:color w:val="000000"/>
                    </w:rPr>
                    <w:t>/</w:t>
                  </w:r>
                  <w:r>
                    <w:rPr>
                      <w:rFonts w:ascii="仿宋_GB2312" w:hAnsi="仿宋_GB2312" w:cs="仿宋_GB2312" w:eastAsia="仿宋_GB2312"/>
                      <w:sz w:val="21"/>
                      <w:color w:val="000000"/>
                    </w:rPr>
                    <w:t>术种分组器，并能进行扩充和修改。系统需提供重点监控病种</w:t>
                  </w:r>
                  <w:r>
                    <w:rPr>
                      <w:rFonts w:ascii="仿宋_GB2312" w:hAnsi="仿宋_GB2312" w:cs="仿宋_GB2312" w:eastAsia="仿宋_GB2312"/>
                      <w:sz w:val="21"/>
                      <w:color w:val="000000"/>
                    </w:rPr>
                    <w:t>/</w:t>
                  </w:r>
                  <w:r>
                    <w:rPr>
                      <w:rFonts w:ascii="仿宋_GB2312" w:hAnsi="仿宋_GB2312" w:cs="仿宋_GB2312" w:eastAsia="仿宋_GB2312"/>
                      <w:sz w:val="21"/>
                      <w:color w:val="000000"/>
                    </w:rPr>
                    <w:t>术种分组明细查询，可下载每个病例的详细明细。明细应至少包含：病案号，出院时间，病人性别、年龄、主要诊断、次要诊断、主手术等基本信息，重点监控病种</w:t>
                  </w:r>
                  <w:r>
                    <w:rPr>
                      <w:rFonts w:ascii="仿宋_GB2312" w:hAnsi="仿宋_GB2312" w:cs="仿宋_GB2312" w:eastAsia="仿宋_GB2312"/>
                      <w:sz w:val="21"/>
                      <w:color w:val="000000"/>
                    </w:rPr>
                    <w:t>/</w:t>
                  </w:r>
                  <w:r>
                    <w:rPr>
                      <w:rFonts w:ascii="仿宋_GB2312" w:hAnsi="仿宋_GB2312" w:cs="仿宋_GB2312" w:eastAsia="仿宋_GB2312"/>
                      <w:sz w:val="21"/>
                      <w:color w:val="000000"/>
                    </w:rPr>
                    <w:t>术种代码，重点监控病种</w:t>
                  </w:r>
                  <w:r>
                    <w:rPr>
                      <w:rFonts w:ascii="仿宋_GB2312" w:hAnsi="仿宋_GB2312" w:cs="仿宋_GB2312" w:eastAsia="仿宋_GB2312"/>
                      <w:sz w:val="21"/>
                      <w:color w:val="000000"/>
                    </w:rPr>
                    <w:t>/</w:t>
                  </w:r>
                  <w:r>
                    <w:rPr>
                      <w:rFonts w:ascii="仿宋_GB2312" w:hAnsi="仿宋_GB2312" w:cs="仿宋_GB2312" w:eastAsia="仿宋_GB2312"/>
                      <w:sz w:val="21"/>
                      <w:color w:val="000000"/>
                    </w:rPr>
                    <w:t>术种名称等。</w:t>
                  </w:r>
                </w:p>
              </w:tc>
            </w:tr>
            <w:tr>
              <w:tc>
                <w:tcPr>
                  <w:tcW w:type="dxa" w:w="303"/>
                  <w:vMerge/>
                  <w:tcBorders>
                    <w:top w:val="none" w:color="000000" w:sz="4"/>
                    <w:left w:val="single" w:color="000000" w:sz="4"/>
                    <w:bottom w:val="single" w:color="000000" w:sz="4"/>
                    <w:right w:val="single" w:color="000000" w:sz="4"/>
                  </w:tcBorders>
                </w:tcPr>
                <w:p/>
              </w:tc>
              <w:tc>
                <w:tcPr>
                  <w:tcW w:type="dxa" w:w="31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1.1.4.3</w:t>
                  </w:r>
                </w:p>
              </w:tc>
              <w:tc>
                <w:tcPr>
                  <w:tcW w:type="dxa" w:w="1936"/>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手术分级功能</w:t>
                  </w:r>
                </w:p>
              </w:tc>
            </w:tr>
            <w:tr>
              <w:tc>
                <w:tcPr>
                  <w:tcW w:type="dxa" w:w="303"/>
                  <w:vMerge/>
                  <w:tcBorders>
                    <w:top w:val="none" w:color="000000" w:sz="4"/>
                    <w:left w:val="single" w:color="000000" w:sz="4"/>
                    <w:bottom w:val="single" w:color="000000" w:sz="4"/>
                    <w:right w:val="single" w:color="000000" w:sz="4"/>
                  </w:tcBorders>
                </w:tcPr>
                <w:p/>
              </w:tc>
              <w:tc>
                <w:tcPr>
                  <w:tcW w:type="dxa" w:w="312"/>
                  <w:vMerge/>
                  <w:tcBorders>
                    <w:top w:val="none" w:color="000000" w:sz="4"/>
                    <w:left w:val="none" w:color="000000" w:sz="4"/>
                    <w:bottom w:val="single" w:color="000000" w:sz="4"/>
                    <w:right w:val="single" w:color="000000" w:sz="4"/>
                  </w:tcBorders>
                </w:tcPr>
                <w:p/>
              </w:tc>
              <w:tc>
                <w:tcPr>
                  <w:tcW w:type="dxa" w:w="1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支持独立的手术分级系统，可按用户要求调整手术分级目录，能实际反应临床实际。系统需提供手术分级情况查询，下载每个病例的手术分级明细。明细应至少包含：病案号，出院时间，病人性别、年龄、主要诊断、次要诊断、主手术等基本信息，手术级别，是否为日间手术判定等。</w:t>
                  </w:r>
                </w:p>
              </w:tc>
            </w:tr>
            <w:tr>
              <w:tc>
                <w:tcPr>
                  <w:tcW w:type="dxa" w:w="303"/>
                  <w:vMerge/>
                  <w:tcBorders>
                    <w:top w:val="none" w:color="000000" w:sz="4"/>
                    <w:left w:val="single" w:color="000000" w:sz="4"/>
                    <w:bottom w:val="single" w:color="000000" w:sz="4"/>
                    <w:right w:val="single" w:color="000000" w:sz="4"/>
                  </w:tcBorders>
                </w:tcP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1.1.5</w:t>
                  </w:r>
                </w:p>
              </w:tc>
              <w:tc>
                <w:tcPr>
                  <w:tcW w:type="dxa" w:w="1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基于</w:t>
                  </w:r>
                  <w:r>
                    <w:rPr>
                      <w:rFonts w:ascii="仿宋_GB2312" w:hAnsi="仿宋_GB2312" w:cs="仿宋_GB2312" w:eastAsia="仿宋_GB2312"/>
                      <w:sz w:val="21"/>
                      <w:color w:val="000000"/>
                    </w:rPr>
                    <w:t>DRG</w:t>
                  </w:r>
                  <w:r>
                    <w:rPr>
                      <w:rFonts w:ascii="仿宋_GB2312" w:hAnsi="仿宋_GB2312" w:cs="仿宋_GB2312" w:eastAsia="仿宋_GB2312"/>
                      <w:sz w:val="21"/>
                      <w:color w:val="000000"/>
                    </w:rPr>
                    <w:t>医疗服务评价分析功能</w:t>
                  </w:r>
                </w:p>
              </w:tc>
            </w:tr>
            <w:tr>
              <w:tc>
                <w:tcPr>
                  <w:tcW w:type="dxa" w:w="303"/>
                  <w:vMerge/>
                  <w:tcBorders>
                    <w:top w:val="none" w:color="000000" w:sz="4"/>
                    <w:left w:val="single" w:color="000000" w:sz="4"/>
                    <w:bottom w:val="single" w:color="000000" w:sz="4"/>
                    <w:right w:val="single" w:color="000000" w:sz="4"/>
                  </w:tcBorders>
                </w:tcPr>
                <w:p/>
              </w:tc>
              <w:tc>
                <w:tcPr>
                  <w:tcW w:type="dxa" w:w="31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1.1.5.1</w:t>
                  </w:r>
                </w:p>
              </w:tc>
              <w:tc>
                <w:tcPr>
                  <w:tcW w:type="dxa" w:w="1936"/>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综合能力分析功能</w:t>
                  </w:r>
                </w:p>
              </w:tc>
            </w:tr>
            <w:tr>
              <w:tc>
                <w:tcPr>
                  <w:tcW w:type="dxa" w:w="303"/>
                  <w:vMerge/>
                  <w:tcBorders>
                    <w:top w:val="none" w:color="000000" w:sz="4"/>
                    <w:left w:val="single" w:color="000000" w:sz="4"/>
                    <w:bottom w:val="single" w:color="000000" w:sz="4"/>
                    <w:right w:val="single" w:color="000000" w:sz="4"/>
                  </w:tcBorders>
                </w:tcPr>
                <w:p/>
              </w:tc>
              <w:tc>
                <w:tcPr>
                  <w:tcW w:type="dxa" w:w="312"/>
                  <w:vMerge/>
                  <w:tcBorders>
                    <w:top w:val="none" w:color="000000" w:sz="4"/>
                    <w:left w:val="none" w:color="000000" w:sz="4"/>
                    <w:bottom w:val="single" w:color="000000" w:sz="4"/>
                    <w:right w:val="single" w:color="000000" w:sz="4"/>
                  </w:tcBorders>
                </w:tcPr>
                <w:p/>
              </w:tc>
              <w:tc>
                <w:tcPr>
                  <w:tcW w:type="dxa" w:w="1936"/>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综合能力分析是衡量医院在区域内核心竞争力的重要指标。系统需支持以下三个层级的综合能力分析功能：</w:t>
                  </w:r>
                </w:p>
              </w:tc>
            </w:tr>
            <w:tr>
              <w:tc>
                <w:tcPr>
                  <w:tcW w:type="dxa" w:w="303"/>
                  <w:vMerge/>
                  <w:tcBorders>
                    <w:top w:val="none" w:color="000000" w:sz="4"/>
                    <w:left w:val="single" w:color="000000" w:sz="4"/>
                    <w:bottom w:val="single" w:color="000000" w:sz="4"/>
                    <w:right w:val="single" w:color="000000" w:sz="4"/>
                  </w:tcBorders>
                </w:tcPr>
                <w:p/>
              </w:tc>
              <w:tc>
                <w:tcPr>
                  <w:tcW w:type="dxa" w:w="312"/>
                  <w:vMerge/>
                  <w:tcBorders>
                    <w:top w:val="none" w:color="000000" w:sz="4"/>
                    <w:left w:val="none" w:color="000000" w:sz="4"/>
                    <w:bottom w:val="single" w:color="000000" w:sz="4"/>
                    <w:right w:val="single" w:color="000000" w:sz="4"/>
                  </w:tcBorders>
                </w:tcPr>
                <w:p/>
              </w:tc>
              <w:tc>
                <w:tcPr>
                  <w:tcW w:type="dxa" w:w="1936"/>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全院综合能力分析功能：可在指定时间段内对全院综合能力进行分析，包含出院人数、</w:t>
                  </w:r>
                  <w:r>
                    <w:rPr>
                      <w:rFonts w:ascii="仿宋_GB2312" w:hAnsi="仿宋_GB2312" w:cs="仿宋_GB2312" w:eastAsia="仿宋_GB2312"/>
                      <w:sz w:val="21"/>
                      <w:color w:val="000000"/>
                    </w:rPr>
                    <w:t>DRG</w:t>
                  </w:r>
                  <w:r>
                    <w:rPr>
                      <w:rFonts w:ascii="仿宋_GB2312" w:hAnsi="仿宋_GB2312" w:cs="仿宋_GB2312" w:eastAsia="仿宋_GB2312"/>
                      <w:sz w:val="21"/>
                      <w:color w:val="000000"/>
                    </w:rPr>
                    <w:t>组数、</w:t>
                  </w:r>
                  <w:r>
                    <w:rPr>
                      <w:rFonts w:ascii="仿宋_GB2312" w:hAnsi="仿宋_GB2312" w:cs="仿宋_GB2312" w:eastAsia="仿宋_GB2312"/>
                      <w:sz w:val="21"/>
                      <w:color w:val="000000"/>
                    </w:rPr>
                    <w:t>DRG</w:t>
                  </w:r>
                  <w:r>
                    <w:rPr>
                      <w:rFonts w:ascii="仿宋_GB2312" w:hAnsi="仿宋_GB2312" w:cs="仿宋_GB2312" w:eastAsia="仿宋_GB2312"/>
                      <w:sz w:val="21"/>
                      <w:color w:val="000000"/>
                    </w:rPr>
                    <w:t>总量、</w:t>
                  </w:r>
                  <w:r>
                    <w:rPr>
                      <w:rFonts w:ascii="仿宋_GB2312" w:hAnsi="仿宋_GB2312" w:cs="仿宋_GB2312" w:eastAsia="仿宋_GB2312"/>
                      <w:sz w:val="21"/>
                      <w:color w:val="000000"/>
                    </w:rPr>
                    <w:t>CMI</w:t>
                  </w:r>
                  <w:r>
                    <w:rPr>
                      <w:rFonts w:ascii="仿宋_GB2312" w:hAnsi="仿宋_GB2312" w:cs="仿宋_GB2312" w:eastAsia="仿宋_GB2312"/>
                      <w:sz w:val="21"/>
                      <w:color w:val="000000"/>
                    </w:rPr>
                    <w:t>值、平均住院天数、平均总费用、平均药费、平均耗材费、低风险死亡率、费用指数、时间指数等。</w:t>
                  </w:r>
                </w:p>
              </w:tc>
            </w:tr>
            <w:tr>
              <w:tc>
                <w:tcPr>
                  <w:tcW w:type="dxa" w:w="303"/>
                  <w:vMerge/>
                  <w:tcBorders>
                    <w:top w:val="none" w:color="000000" w:sz="4"/>
                    <w:left w:val="single" w:color="000000" w:sz="4"/>
                    <w:bottom w:val="single" w:color="000000" w:sz="4"/>
                    <w:right w:val="single" w:color="000000" w:sz="4"/>
                  </w:tcBorders>
                </w:tcPr>
                <w:p/>
              </w:tc>
              <w:tc>
                <w:tcPr>
                  <w:tcW w:type="dxa" w:w="312"/>
                  <w:vMerge/>
                  <w:tcBorders>
                    <w:top w:val="none" w:color="000000" w:sz="4"/>
                    <w:left w:val="none" w:color="000000" w:sz="4"/>
                    <w:bottom w:val="single" w:color="000000" w:sz="4"/>
                    <w:right w:val="single" w:color="000000" w:sz="4"/>
                  </w:tcBorders>
                </w:tcPr>
                <w:p/>
              </w:tc>
              <w:tc>
                <w:tcPr>
                  <w:tcW w:type="dxa" w:w="1936"/>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科室综合能力分析功能：可在指定时间段内对某单一科室或多个科室综合能力进行分析，包含出院人数、</w:t>
                  </w:r>
                  <w:r>
                    <w:rPr>
                      <w:rFonts w:ascii="仿宋_GB2312" w:hAnsi="仿宋_GB2312" w:cs="仿宋_GB2312" w:eastAsia="仿宋_GB2312"/>
                      <w:sz w:val="21"/>
                      <w:color w:val="000000"/>
                    </w:rPr>
                    <w:t>DRG</w:t>
                  </w:r>
                  <w:r>
                    <w:rPr>
                      <w:rFonts w:ascii="仿宋_GB2312" w:hAnsi="仿宋_GB2312" w:cs="仿宋_GB2312" w:eastAsia="仿宋_GB2312"/>
                      <w:sz w:val="21"/>
                      <w:color w:val="000000"/>
                    </w:rPr>
                    <w:t>组数、</w:t>
                  </w:r>
                  <w:r>
                    <w:rPr>
                      <w:rFonts w:ascii="仿宋_GB2312" w:hAnsi="仿宋_GB2312" w:cs="仿宋_GB2312" w:eastAsia="仿宋_GB2312"/>
                      <w:sz w:val="21"/>
                      <w:color w:val="000000"/>
                    </w:rPr>
                    <w:t>DRG</w:t>
                  </w:r>
                  <w:r>
                    <w:rPr>
                      <w:rFonts w:ascii="仿宋_GB2312" w:hAnsi="仿宋_GB2312" w:cs="仿宋_GB2312" w:eastAsia="仿宋_GB2312"/>
                      <w:sz w:val="21"/>
                      <w:color w:val="000000"/>
                    </w:rPr>
                    <w:t>总量、</w:t>
                  </w:r>
                  <w:r>
                    <w:rPr>
                      <w:rFonts w:ascii="仿宋_GB2312" w:hAnsi="仿宋_GB2312" w:cs="仿宋_GB2312" w:eastAsia="仿宋_GB2312"/>
                      <w:sz w:val="21"/>
                      <w:color w:val="000000"/>
                    </w:rPr>
                    <w:t>CMI</w:t>
                  </w:r>
                  <w:r>
                    <w:rPr>
                      <w:rFonts w:ascii="仿宋_GB2312" w:hAnsi="仿宋_GB2312" w:cs="仿宋_GB2312" w:eastAsia="仿宋_GB2312"/>
                      <w:sz w:val="21"/>
                      <w:color w:val="000000"/>
                    </w:rPr>
                    <w:t>值、平均住院天数、平均总费用、平均药费、平均耗材费、低风险死亡率、费用指数、时间指数等。并可提供同环比对比分析功能，帮助医院了解各科室发展情况与现存的问题。</w:t>
                  </w:r>
                </w:p>
              </w:tc>
            </w:tr>
            <w:tr>
              <w:tc>
                <w:tcPr>
                  <w:tcW w:type="dxa" w:w="303"/>
                  <w:vMerge/>
                  <w:tcBorders>
                    <w:top w:val="none" w:color="000000" w:sz="4"/>
                    <w:left w:val="single" w:color="000000" w:sz="4"/>
                    <w:bottom w:val="single" w:color="000000" w:sz="4"/>
                    <w:right w:val="single" w:color="000000" w:sz="4"/>
                  </w:tcBorders>
                </w:tcPr>
                <w:p/>
              </w:tc>
              <w:tc>
                <w:tcPr>
                  <w:tcW w:type="dxa" w:w="312"/>
                  <w:vMerge/>
                  <w:tcBorders>
                    <w:top w:val="none" w:color="000000" w:sz="4"/>
                    <w:left w:val="none" w:color="000000" w:sz="4"/>
                    <w:bottom w:val="single" w:color="000000" w:sz="4"/>
                    <w:right w:val="single" w:color="000000" w:sz="4"/>
                  </w:tcBorders>
                </w:tcPr>
                <w:p/>
              </w:tc>
              <w:tc>
                <w:tcPr>
                  <w:tcW w:type="dxa" w:w="1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医生综合能力分析功能：可在指定时间段内对各医生的综合能力进行分析，包含出院人数、</w:t>
                  </w:r>
                  <w:r>
                    <w:rPr>
                      <w:rFonts w:ascii="仿宋_GB2312" w:hAnsi="仿宋_GB2312" w:cs="仿宋_GB2312" w:eastAsia="仿宋_GB2312"/>
                      <w:sz w:val="21"/>
                      <w:color w:val="000000"/>
                    </w:rPr>
                    <w:t>DRG</w:t>
                  </w:r>
                  <w:r>
                    <w:rPr>
                      <w:rFonts w:ascii="仿宋_GB2312" w:hAnsi="仿宋_GB2312" w:cs="仿宋_GB2312" w:eastAsia="仿宋_GB2312"/>
                      <w:sz w:val="21"/>
                      <w:color w:val="000000"/>
                    </w:rPr>
                    <w:t>组数、</w:t>
                  </w:r>
                  <w:r>
                    <w:rPr>
                      <w:rFonts w:ascii="仿宋_GB2312" w:hAnsi="仿宋_GB2312" w:cs="仿宋_GB2312" w:eastAsia="仿宋_GB2312"/>
                      <w:sz w:val="21"/>
                      <w:color w:val="000000"/>
                    </w:rPr>
                    <w:t>DRG</w:t>
                  </w:r>
                  <w:r>
                    <w:rPr>
                      <w:rFonts w:ascii="仿宋_GB2312" w:hAnsi="仿宋_GB2312" w:cs="仿宋_GB2312" w:eastAsia="仿宋_GB2312"/>
                      <w:sz w:val="21"/>
                      <w:color w:val="000000"/>
                    </w:rPr>
                    <w:t>总量、</w:t>
                  </w:r>
                  <w:r>
                    <w:rPr>
                      <w:rFonts w:ascii="仿宋_GB2312" w:hAnsi="仿宋_GB2312" w:cs="仿宋_GB2312" w:eastAsia="仿宋_GB2312"/>
                      <w:sz w:val="21"/>
                      <w:color w:val="000000"/>
                    </w:rPr>
                    <w:t>CMI</w:t>
                  </w:r>
                  <w:r>
                    <w:rPr>
                      <w:rFonts w:ascii="仿宋_GB2312" w:hAnsi="仿宋_GB2312" w:cs="仿宋_GB2312" w:eastAsia="仿宋_GB2312"/>
                      <w:sz w:val="21"/>
                      <w:color w:val="000000"/>
                    </w:rPr>
                    <w:t>值、平均住院天数、平均总费用、平均药费、平均耗材费、低风险死亡率、费用指数、时间指数等。可由科室或医疗组下钻到具体医生综合能力分析情况，通过指标对比帮助医院了解各医生的发展情况与存在的问题。</w:t>
                  </w:r>
                </w:p>
              </w:tc>
            </w:tr>
            <w:tr>
              <w:tc>
                <w:tcPr>
                  <w:tcW w:type="dxa" w:w="303"/>
                  <w:vMerge/>
                  <w:tcBorders>
                    <w:top w:val="none" w:color="000000" w:sz="4"/>
                    <w:left w:val="single" w:color="000000" w:sz="4"/>
                    <w:bottom w:val="single" w:color="000000" w:sz="4"/>
                    <w:right w:val="single" w:color="000000" w:sz="4"/>
                  </w:tcBorders>
                </w:tcPr>
                <w:p/>
              </w:tc>
              <w:tc>
                <w:tcPr>
                  <w:tcW w:type="dxa" w:w="31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1.1.5.2</w:t>
                  </w:r>
                </w:p>
              </w:tc>
              <w:tc>
                <w:tcPr>
                  <w:tcW w:type="dxa" w:w="1936"/>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疑难病例分析功能</w:t>
                  </w:r>
                </w:p>
              </w:tc>
            </w:tr>
            <w:tr>
              <w:tc>
                <w:tcPr>
                  <w:tcW w:type="dxa" w:w="303"/>
                  <w:vMerge/>
                  <w:tcBorders>
                    <w:top w:val="none" w:color="000000" w:sz="4"/>
                    <w:left w:val="single" w:color="000000" w:sz="4"/>
                    <w:bottom w:val="single" w:color="000000" w:sz="4"/>
                    <w:right w:val="single" w:color="000000" w:sz="4"/>
                  </w:tcBorders>
                </w:tcPr>
                <w:p/>
              </w:tc>
              <w:tc>
                <w:tcPr>
                  <w:tcW w:type="dxa" w:w="312"/>
                  <w:vMerge/>
                  <w:tcBorders>
                    <w:top w:val="none" w:color="000000" w:sz="4"/>
                    <w:left w:val="none" w:color="000000" w:sz="4"/>
                    <w:bottom w:val="single" w:color="000000" w:sz="4"/>
                    <w:right w:val="single" w:color="000000" w:sz="4"/>
                  </w:tcBorders>
                </w:tcPr>
                <w:p/>
              </w:tc>
              <w:tc>
                <w:tcPr>
                  <w:tcW w:type="dxa" w:w="1936"/>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DRG</w:t>
                  </w:r>
                  <w:r>
                    <w:rPr>
                      <w:rFonts w:ascii="仿宋_GB2312" w:hAnsi="仿宋_GB2312" w:cs="仿宋_GB2312" w:eastAsia="仿宋_GB2312"/>
                      <w:sz w:val="21"/>
                      <w:color w:val="000000"/>
                    </w:rPr>
                    <w:t>疑难病历分析是反映医院专业能力、治疗能力的重要指标。系统支持按医院要求制定</w:t>
                  </w:r>
                  <w:r>
                    <w:rPr>
                      <w:rFonts w:ascii="仿宋_GB2312" w:hAnsi="仿宋_GB2312" w:cs="仿宋_GB2312" w:eastAsia="仿宋_GB2312"/>
                      <w:sz w:val="21"/>
                      <w:color w:val="000000"/>
                    </w:rPr>
                    <w:t>RW</w:t>
                  </w:r>
                  <w:r>
                    <w:rPr>
                      <w:rFonts w:ascii="仿宋_GB2312" w:hAnsi="仿宋_GB2312" w:cs="仿宋_GB2312" w:eastAsia="仿宋_GB2312"/>
                      <w:sz w:val="21"/>
                      <w:color w:val="000000"/>
                    </w:rPr>
                    <w:t>区间（如</w:t>
                  </w:r>
                  <w:r>
                    <w:rPr>
                      <w:rFonts w:ascii="仿宋_GB2312" w:hAnsi="仿宋_GB2312" w:cs="仿宋_GB2312" w:eastAsia="仿宋_GB2312"/>
                      <w:sz w:val="21"/>
                      <w:color w:val="000000"/>
                    </w:rPr>
                    <w:t>RW≥2</w:t>
                  </w:r>
                  <w:r>
                    <w:rPr>
                      <w:rFonts w:ascii="仿宋_GB2312" w:hAnsi="仿宋_GB2312" w:cs="仿宋_GB2312" w:eastAsia="仿宋_GB2312"/>
                      <w:sz w:val="21"/>
                      <w:color w:val="000000"/>
                    </w:rPr>
                    <w:t>）作为疑难病例的权重值的基准，并按所制定的区间分析各个</w:t>
                  </w:r>
                  <w:r>
                    <w:rPr>
                      <w:rFonts w:ascii="仿宋_GB2312" w:hAnsi="仿宋_GB2312" w:cs="仿宋_GB2312" w:eastAsia="仿宋_GB2312"/>
                      <w:sz w:val="21"/>
                      <w:color w:val="000000"/>
                    </w:rPr>
                    <w:t>RW</w:t>
                  </w:r>
                  <w:r>
                    <w:rPr>
                      <w:rFonts w:ascii="仿宋_GB2312" w:hAnsi="仿宋_GB2312" w:cs="仿宋_GB2312" w:eastAsia="仿宋_GB2312"/>
                      <w:sz w:val="21"/>
                      <w:color w:val="000000"/>
                    </w:rPr>
                    <w:t>区间的病例比例。系统需支持以下三个层级的疑难病例分析功能：</w:t>
                  </w:r>
                </w:p>
              </w:tc>
            </w:tr>
            <w:tr>
              <w:tc>
                <w:tcPr>
                  <w:tcW w:type="dxa" w:w="303"/>
                  <w:vMerge/>
                  <w:tcBorders>
                    <w:top w:val="none" w:color="000000" w:sz="4"/>
                    <w:left w:val="single" w:color="000000" w:sz="4"/>
                    <w:bottom w:val="single" w:color="000000" w:sz="4"/>
                    <w:right w:val="single" w:color="000000" w:sz="4"/>
                  </w:tcBorders>
                </w:tcPr>
                <w:p/>
              </w:tc>
              <w:tc>
                <w:tcPr>
                  <w:tcW w:type="dxa" w:w="312"/>
                  <w:vMerge/>
                  <w:tcBorders>
                    <w:top w:val="none" w:color="000000" w:sz="4"/>
                    <w:left w:val="none" w:color="000000" w:sz="4"/>
                    <w:bottom w:val="single" w:color="000000" w:sz="4"/>
                    <w:right w:val="single" w:color="000000" w:sz="4"/>
                  </w:tcBorders>
                </w:tcPr>
                <w:p/>
              </w:tc>
              <w:tc>
                <w:tcPr>
                  <w:tcW w:type="dxa" w:w="1936"/>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全院疑难病例分析功能：可在指定时间段内对全院疑难病例进行分析，包含出院人数、各</w:t>
                  </w:r>
                  <w:r>
                    <w:rPr>
                      <w:rFonts w:ascii="仿宋_GB2312" w:hAnsi="仿宋_GB2312" w:cs="仿宋_GB2312" w:eastAsia="仿宋_GB2312"/>
                      <w:sz w:val="21"/>
                      <w:color w:val="000000"/>
                    </w:rPr>
                    <w:t>RW</w:t>
                  </w:r>
                  <w:r>
                    <w:rPr>
                      <w:rFonts w:ascii="仿宋_GB2312" w:hAnsi="仿宋_GB2312" w:cs="仿宋_GB2312" w:eastAsia="仿宋_GB2312"/>
                      <w:sz w:val="21"/>
                      <w:color w:val="000000"/>
                    </w:rPr>
                    <w:t>区间人次、各</w:t>
                  </w:r>
                  <w:r>
                    <w:rPr>
                      <w:rFonts w:ascii="仿宋_GB2312" w:hAnsi="仿宋_GB2312" w:cs="仿宋_GB2312" w:eastAsia="仿宋_GB2312"/>
                      <w:sz w:val="21"/>
                      <w:color w:val="000000"/>
                    </w:rPr>
                    <w:t>RW</w:t>
                  </w:r>
                  <w:r>
                    <w:rPr>
                      <w:rFonts w:ascii="仿宋_GB2312" w:hAnsi="仿宋_GB2312" w:cs="仿宋_GB2312" w:eastAsia="仿宋_GB2312"/>
                      <w:sz w:val="21"/>
                      <w:color w:val="000000"/>
                    </w:rPr>
                    <w:t>区间人次占比、疑难病例出院人数、组数、平均住院天数、平均总费用、平均药费及占比、平均耗材费及占比等。</w:t>
                  </w:r>
                </w:p>
              </w:tc>
            </w:tr>
            <w:tr>
              <w:tc>
                <w:tcPr>
                  <w:tcW w:type="dxa" w:w="303"/>
                  <w:vMerge/>
                  <w:tcBorders>
                    <w:top w:val="none" w:color="000000" w:sz="4"/>
                    <w:left w:val="single" w:color="000000" w:sz="4"/>
                    <w:bottom w:val="single" w:color="000000" w:sz="4"/>
                    <w:right w:val="single" w:color="000000" w:sz="4"/>
                  </w:tcBorders>
                </w:tcPr>
                <w:p/>
              </w:tc>
              <w:tc>
                <w:tcPr>
                  <w:tcW w:type="dxa" w:w="312"/>
                  <w:vMerge/>
                  <w:tcBorders>
                    <w:top w:val="none" w:color="000000" w:sz="4"/>
                    <w:left w:val="none" w:color="000000" w:sz="4"/>
                    <w:bottom w:val="single" w:color="000000" w:sz="4"/>
                    <w:right w:val="single" w:color="000000" w:sz="4"/>
                  </w:tcBorders>
                </w:tcPr>
                <w:p/>
              </w:tc>
              <w:tc>
                <w:tcPr>
                  <w:tcW w:type="dxa" w:w="1936"/>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科室疑难病例分析功能：可在指定时间段内对某单一科室或多个科室疑难病例进行分析，包含科室名称、出院人数、各</w:t>
                  </w:r>
                  <w:r>
                    <w:rPr>
                      <w:rFonts w:ascii="仿宋_GB2312" w:hAnsi="仿宋_GB2312" w:cs="仿宋_GB2312" w:eastAsia="仿宋_GB2312"/>
                      <w:sz w:val="21"/>
                      <w:color w:val="000000"/>
                    </w:rPr>
                    <w:t>RW</w:t>
                  </w:r>
                  <w:r>
                    <w:rPr>
                      <w:rFonts w:ascii="仿宋_GB2312" w:hAnsi="仿宋_GB2312" w:cs="仿宋_GB2312" w:eastAsia="仿宋_GB2312"/>
                      <w:sz w:val="21"/>
                      <w:color w:val="000000"/>
                    </w:rPr>
                    <w:t>区间人次、各</w:t>
                  </w:r>
                  <w:r>
                    <w:rPr>
                      <w:rFonts w:ascii="仿宋_GB2312" w:hAnsi="仿宋_GB2312" w:cs="仿宋_GB2312" w:eastAsia="仿宋_GB2312"/>
                      <w:sz w:val="21"/>
                      <w:color w:val="000000"/>
                    </w:rPr>
                    <w:t>RW</w:t>
                  </w:r>
                  <w:r>
                    <w:rPr>
                      <w:rFonts w:ascii="仿宋_GB2312" w:hAnsi="仿宋_GB2312" w:cs="仿宋_GB2312" w:eastAsia="仿宋_GB2312"/>
                      <w:sz w:val="21"/>
                      <w:color w:val="000000"/>
                    </w:rPr>
                    <w:t>区间人次占比、疑难病例出院人数、组数、平均住院天数、平均总费用、平均药费及占比、平均耗材费及占比等。并可提供同环比对比分析功能，帮助医院了解各科室发展情况与现存的问题。</w:t>
                  </w:r>
                </w:p>
              </w:tc>
            </w:tr>
            <w:tr>
              <w:tc>
                <w:tcPr>
                  <w:tcW w:type="dxa" w:w="303"/>
                  <w:vMerge/>
                  <w:tcBorders>
                    <w:top w:val="none" w:color="000000" w:sz="4"/>
                    <w:left w:val="single" w:color="000000" w:sz="4"/>
                    <w:bottom w:val="single" w:color="000000" w:sz="4"/>
                    <w:right w:val="single" w:color="000000" w:sz="4"/>
                  </w:tcBorders>
                </w:tcPr>
                <w:p/>
              </w:tc>
              <w:tc>
                <w:tcPr>
                  <w:tcW w:type="dxa" w:w="312"/>
                  <w:vMerge/>
                  <w:tcBorders>
                    <w:top w:val="none" w:color="000000" w:sz="4"/>
                    <w:left w:val="none" w:color="000000" w:sz="4"/>
                    <w:bottom w:val="single" w:color="000000" w:sz="4"/>
                    <w:right w:val="single" w:color="000000" w:sz="4"/>
                  </w:tcBorders>
                </w:tcPr>
                <w:p/>
              </w:tc>
              <w:tc>
                <w:tcPr>
                  <w:tcW w:type="dxa" w:w="1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医生疑难病例分析功能：可在指定时间段内对各医生的疑难病例进行分析，包含医生名称、出院人数、各</w:t>
                  </w:r>
                  <w:r>
                    <w:rPr>
                      <w:rFonts w:ascii="仿宋_GB2312" w:hAnsi="仿宋_GB2312" w:cs="仿宋_GB2312" w:eastAsia="仿宋_GB2312"/>
                      <w:sz w:val="21"/>
                      <w:color w:val="000000"/>
                    </w:rPr>
                    <w:t>RW</w:t>
                  </w:r>
                  <w:r>
                    <w:rPr>
                      <w:rFonts w:ascii="仿宋_GB2312" w:hAnsi="仿宋_GB2312" w:cs="仿宋_GB2312" w:eastAsia="仿宋_GB2312"/>
                      <w:sz w:val="21"/>
                      <w:color w:val="000000"/>
                    </w:rPr>
                    <w:t>区间人次、各</w:t>
                  </w:r>
                  <w:r>
                    <w:rPr>
                      <w:rFonts w:ascii="仿宋_GB2312" w:hAnsi="仿宋_GB2312" w:cs="仿宋_GB2312" w:eastAsia="仿宋_GB2312"/>
                      <w:sz w:val="21"/>
                      <w:color w:val="000000"/>
                    </w:rPr>
                    <w:t>RW</w:t>
                  </w:r>
                  <w:r>
                    <w:rPr>
                      <w:rFonts w:ascii="仿宋_GB2312" w:hAnsi="仿宋_GB2312" w:cs="仿宋_GB2312" w:eastAsia="仿宋_GB2312"/>
                      <w:sz w:val="21"/>
                      <w:color w:val="000000"/>
                    </w:rPr>
                    <w:t>区间人次占比、疑难病例出院人数、组数、平均住院天数、平均总费用、平均药费及占比、平均耗材费及占比等。可由科室下钻到具体医生疑难病例分析情况，通过指标对比帮助医院了解各医生的发展情况与存在的问题。</w:t>
                  </w:r>
                </w:p>
              </w:tc>
            </w:tr>
            <w:tr>
              <w:tc>
                <w:tcPr>
                  <w:tcW w:type="dxa" w:w="303"/>
                  <w:vMerge/>
                  <w:tcBorders>
                    <w:top w:val="none" w:color="000000" w:sz="4"/>
                    <w:left w:val="single" w:color="000000" w:sz="4"/>
                    <w:bottom w:val="single" w:color="000000" w:sz="4"/>
                    <w:right w:val="single" w:color="000000" w:sz="4"/>
                  </w:tcBorders>
                </w:tcPr>
                <w:p/>
              </w:tc>
              <w:tc>
                <w:tcPr>
                  <w:tcW w:type="dxa" w:w="31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1.1.5.3</w:t>
                  </w:r>
                </w:p>
              </w:tc>
              <w:tc>
                <w:tcPr>
                  <w:tcW w:type="dxa" w:w="193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外科能力分析功能</w:t>
                  </w:r>
                </w:p>
              </w:tc>
            </w:tr>
            <w:tr>
              <w:tc>
                <w:tcPr>
                  <w:tcW w:type="dxa" w:w="303"/>
                  <w:vMerge/>
                  <w:tcBorders>
                    <w:top w:val="none" w:color="000000" w:sz="4"/>
                    <w:left w:val="single" w:color="000000" w:sz="4"/>
                    <w:bottom w:val="single" w:color="000000" w:sz="4"/>
                    <w:right w:val="single" w:color="000000" w:sz="4"/>
                  </w:tcBorders>
                </w:tcPr>
                <w:p/>
              </w:tc>
              <w:tc>
                <w:tcPr>
                  <w:tcW w:type="dxa" w:w="312"/>
                  <w:vMerge/>
                  <w:tcBorders>
                    <w:top w:val="none" w:color="000000" w:sz="4"/>
                    <w:left w:val="none" w:color="000000" w:sz="4"/>
                    <w:bottom w:val="single" w:color="000000" w:sz="4"/>
                    <w:right w:val="single" w:color="000000" w:sz="4"/>
                  </w:tcBorders>
                </w:tcPr>
                <w:p/>
              </w:tc>
              <w:tc>
                <w:tcPr>
                  <w:tcW w:type="dxa" w:w="193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DRG</w:t>
                  </w:r>
                  <w:r>
                    <w:rPr>
                      <w:rFonts w:ascii="仿宋_GB2312" w:hAnsi="仿宋_GB2312" w:cs="仿宋_GB2312" w:eastAsia="仿宋_GB2312"/>
                      <w:sz w:val="21"/>
                      <w:color w:val="000000"/>
                    </w:rPr>
                    <w:t>外科能力分析是体现医院外科综合实力的重要指标，系统需对手术进行科学的分级，按医院要求设置三四级手术分类目录，分析医院的三四级手术比例。系统需支持以下三个层级的外科能力分析功能：</w:t>
                  </w:r>
                </w:p>
              </w:tc>
            </w:tr>
            <w:tr>
              <w:tc>
                <w:tcPr>
                  <w:tcW w:type="dxa" w:w="303"/>
                  <w:vMerge/>
                  <w:tcBorders>
                    <w:top w:val="none" w:color="000000" w:sz="4"/>
                    <w:left w:val="single" w:color="000000" w:sz="4"/>
                    <w:bottom w:val="single" w:color="000000" w:sz="4"/>
                    <w:right w:val="single" w:color="000000" w:sz="4"/>
                  </w:tcBorders>
                </w:tcPr>
                <w:p/>
              </w:tc>
              <w:tc>
                <w:tcPr>
                  <w:tcW w:type="dxa" w:w="312"/>
                  <w:vMerge/>
                  <w:tcBorders>
                    <w:top w:val="none" w:color="000000" w:sz="4"/>
                    <w:left w:val="none" w:color="000000" w:sz="4"/>
                    <w:bottom w:val="single" w:color="000000" w:sz="4"/>
                    <w:right w:val="single" w:color="000000" w:sz="4"/>
                  </w:tcBorders>
                </w:tcPr>
                <w:p/>
              </w:tc>
              <w:tc>
                <w:tcPr>
                  <w:tcW w:type="dxa" w:w="193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全院外科能力分析功能：可在指定时间段内对全院外科能力进行分析，包含出院人数、各级别手术人次、各级手术人次占比、三四级手术人次之和、三四级手术人次占比、平均术前等待天数、平均术后恢复天数、平均住院天数、各级别手术人次变化趋势、各级别术种数量等。</w:t>
                  </w:r>
                </w:p>
              </w:tc>
            </w:tr>
            <w:tr>
              <w:tc>
                <w:tcPr>
                  <w:tcW w:type="dxa" w:w="303"/>
                  <w:vMerge/>
                  <w:tcBorders>
                    <w:top w:val="none" w:color="000000" w:sz="4"/>
                    <w:left w:val="single" w:color="000000" w:sz="4"/>
                    <w:bottom w:val="single" w:color="000000" w:sz="4"/>
                    <w:right w:val="single" w:color="000000" w:sz="4"/>
                  </w:tcBorders>
                </w:tcPr>
                <w:p/>
              </w:tc>
              <w:tc>
                <w:tcPr>
                  <w:tcW w:type="dxa" w:w="312"/>
                  <w:vMerge/>
                  <w:tcBorders>
                    <w:top w:val="none" w:color="000000" w:sz="4"/>
                    <w:left w:val="none" w:color="000000" w:sz="4"/>
                    <w:bottom w:val="single" w:color="000000" w:sz="4"/>
                    <w:right w:val="single" w:color="000000" w:sz="4"/>
                  </w:tcBorders>
                </w:tcPr>
                <w:p/>
              </w:tc>
              <w:tc>
                <w:tcPr>
                  <w:tcW w:type="dxa" w:w="193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科室外科能力分析功能：可在指定时间段内对某单一科室或多个科室疑难病例进行分析，包含科室名称、出院人数、各级别手术人次、各级手术人次占比、三四级手术人次之和、三四级手术人次占比、平均术前等待天数、平均术后恢复天数、平均住院天数、各级别手术人次变化趋势、各级别术种数量等。并可提供同环比对比分析功能，帮助医院了解各科室发展情况与现存的问题。</w:t>
                  </w:r>
                </w:p>
              </w:tc>
            </w:tr>
            <w:tr>
              <w:tc>
                <w:tcPr>
                  <w:tcW w:type="dxa" w:w="303"/>
                  <w:vMerge/>
                  <w:tcBorders>
                    <w:top w:val="none" w:color="000000" w:sz="4"/>
                    <w:left w:val="single" w:color="000000" w:sz="4"/>
                    <w:bottom w:val="single" w:color="000000" w:sz="4"/>
                    <w:right w:val="single" w:color="000000" w:sz="4"/>
                  </w:tcBorders>
                </w:tcPr>
                <w:p/>
              </w:tc>
              <w:tc>
                <w:tcPr>
                  <w:tcW w:type="dxa" w:w="312"/>
                  <w:vMerge/>
                  <w:tcBorders>
                    <w:top w:val="none" w:color="000000" w:sz="4"/>
                    <w:left w:val="none" w:color="000000" w:sz="4"/>
                    <w:bottom w:val="single" w:color="000000" w:sz="4"/>
                    <w:right w:val="single" w:color="000000" w:sz="4"/>
                  </w:tcBorders>
                </w:tcPr>
                <w:p/>
              </w:tc>
              <w:tc>
                <w:tcPr>
                  <w:tcW w:type="dxa" w:w="19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医生外科能力分析功能：可在指定时间段内对各医生的疑难病例进行分析，包含医生名称、出院人数、各级别手术人次、各级手术人次占比、三四级手术人次之和、三四级手术人次占比、平均术前等待天数、平均术后恢复天数、平均住院天数、各级别手术人次变化趋势、各级别术种数量等。可由科室下钻到具体医生外科能力分析情况，通过指标对比帮助医院了解各医生的发展情况与存在的问题。</w:t>
                  </w:r>
                </w:p>
              </w:tc>
            </w:tr>
            <w:tr>
              <w:tc>
                <w:tcPr>
                  <w:tcW w:type="dxa" w:w="303"/>
                  <w:vMerge/>
                  <w:tcBorders>
                    <w:top w:val="none" w:color="000000" w:sz="4"/>
                    <w:left w:val="single" w:color="000000" w:sz="4"/>
                    <w:bottom w:val="single" w:color="000000" w:sz="4"/>
                    <w:right w:val="single" w:color="000000" w:sz="4"/>
                  </w:tcBorders>
                </w:tcPr>
                <w:p/>
              </w:tc>
              <w:tc>
                <w:tcPr>
                  <w:tcW w:type="dxa" w:w="31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1.1.5.4</w:t>
                  </w:r>
                </w:p>
              </w:tc>
              <w:tc>
                <w:tcPr>
                  <w:tcW w:type="dxa" w:w="1936"/>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重点监控病种</w:t>
                  </w:r>
                  <w:r>
                    <w:rPr>
                      <w:rFonts w:ascii="仿宋_GB2312" w:hAnsi="仿宋_GB2312" w:cs="仿宋_GB2312" w:eastAsia="仿宋_GB2312"/>
                      <w:sz w:val="21"/>
                      <w:color w:val="000000"/>
                    </w:rPr>
                    <w:t>/</w:t>
                  </w:r>
                  <w:r>
                    <w:rPr>
                      <w:rFonts w:ascii="仿宋_GB2312" w:hAnsi="仿宋_GB2312" w:cs="仿宋_GB2312" w:eastAsia="仿宋_GB2312"/>
                      <w:sz w:val="21"/>
                      <w:color w:val="000000"/>
                    </w:rPr>
                    <w:t>术种分析功能</w:t>
                  </w:r>
                </w:p>
              </w:tc>
            </w:tr>
            <w:tr>
              <w:tc>
                <w:tcPr>
                  <w:tcW w:type="dxa" w:w="303"/>
                  <w:vMerge/>
                  <w:tcBorders>
                    <w:top w:val="none" w:color="000000" w:sz="4"/>
                    <w:left w:val="single" w:color="000000" w:sz="4"/>
                    <w:bottom w:val="single" w:color="000000" w:sz="4"/>
                    <w:right w:val="single" w:color="000000" w:sz="4"/>
                  </w:tcBorders>
                </w:tcPr>
                <w:p/>
              </w:tc>
              <w:tc>
                <w:tcPr>
                  <w:tcW w:type="dxa" w:w="312"/>
                  <w:vMerge/>
                  <w:tcBorders>
                    <w:top w:val="none" w:color="000000" w:sz="4"/>
                    <w:left w:val="none" w:color="000000" w:sz="4"/>
                    <w:bottom w:val="single" w:color="000000" w:sz="4"/>
                    <w:right w:val="single" w:color="000000" w:sz="4"/>
                  </w:tcBorders>
                </w:tcPr>
                <w:p/>
              </w:tc>
              <w:tc>
                <w:tcPr>
                  <w:tcW w:type="dxa" w:w="1936"/>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系统提供重点监控病种</w:t>
                  </w:r>
                  <w:r>
                    <w:rPr>
                      <w:rFonts w:ascii="仿宋_GB2312" w:hAnsi="仿宋_GB2312" w:cs="仿宋_GB2312" w:eastAsia="仿宋_GB2312"/>
                      <w:sz w:val="21"/>
                      <w:color w:val="000000"/>
                    </w:rPr>
                    <w:t>/</w:t>
                  </w:r>
                  <w:r>
                    <w:rPr>
                      <w:rFonts w:ascii="仿宋_GB2312" w:hAnsi="仿宋_GB2312" w:cs="仿宋_GB2312" w:eastAsia="仿宋_GB2312"/>
                      <w:sz w:val="21"/>
                      <w:color w:val="000000"/>
                    </w:rPr>
                    <w:t>术种分析功能，可按医院要求设置重点监控病种</w:t>
                  </w:r>
                  <w:r>
                    <w:rPr>
                      <w:rFonts w:ascii="仿宋_GB2312" w:hAnsi="仿宋_GB2312" w:cs="仿宋_GB2312" w:eastAsia="仿宋_GB2312"/>
                      <w:sz w:val="21"/>
                      <w:color w:val="000000"/>
                    </w:rPr>
                    <w:t>/</w:t>
                  </w:r>
                  <w:r>
                    <w:rPr>
                      <w:rFonts w:ascii="仿宋_GB2312" w:hAnsi="仿宋_GB2312" w:cs="仿宋_GB2312" w:eastAsia="仿宋_GB2312"/>
                      <w:sz w:val="21"/>
                      <w:color w:val="000000"/>
                    </w:rPr>
                    <w:t>术种表单，提供全院整体分析，为医院提供数据支撑。并可下钻到具体科室，帮助科室了解自身科室学科发展情况。</w:t>
                  </w:r>
                </w:p>
              </w:tc>
            </w:tr>
            <w:tr>
              <w:tc>
                <w:tcPr>
                  <w:tcW w:type="dxa" w:w="303"/>
                  <w:vMerge/>
                  <w:tcBorders>
                    <w:top w:val="none" w:color="000000" w:sz="4"/>
                    <w:left w:val="single" w:color="000000" w:sz="4"/>
                    <w:bottom w:val="single" w:color="000000" w:sz="4"/>
                    <w:right w:val="single" w:color="000000" w:sz="4"/>
                  </w:tcBorders>
                </w:tcPr>
                <w:p/>
              </w:tc>
              <w:tc>
                <w:tcPr>
                  <w:tcW w:type="dxa" w:w="312"/>
                  <w:vMerge/>
                  <w:tcBorders>
                    <w:top w:val="none" w:color="000000" w:sz="4"/>
                    <w:left w:val="none" w:color="000000" w:sz="4"/>
                    <w:bottom w:val="single" w:color="000000" w:sz="4"/>
                    <w:right w:val="single" w:color="000000" w:sz="4"/>
                  </w:tcBorders>
                </w:tcPr>
                <w:p/>
              </w:tc>
              <w:tc>
                <w:tcPr>
                  <w:tcW w:type="dxa" w:w="1936"/>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包含以下考核指标：</w:t>
                  </w:r>
                </w:p>
              </w:tc>
            </w:tr>
            <w:tr>
              <w:tc>
                <w:tcPr>
                  <w:tcW w:type="dxa" w:w="303"/>
                  <w:vMerge/>
                  <w:tcBorders>
                    <w:top w:val="none" w:color="000000" w:sz="4"/>
                    <w:left w:val="single" w:color="000000" w:sz="4"/>
                    <w:bottom w:val="single" w:color="000000" w:sz="4"/>
                    <w:right w:val="single" w:color="000000" w:sz="4"/>
                  </w:tcBorders>
                </w:tcPr>
                <w:p/>
              </w:tc>
              <w:tc>
                <w:tcPr>
                  <w:tcW w:type="dxa" w:w="312"/>
                  <w:vMerge/>
                  <w:tcBorders>
                    <w:top w:val="none" w:color="000000" w:sz="4"/>
                    <w:left w:val="none" w:color="000000" w:sz="4"/>
                    <w:bottom w:val="single" w:color="000000" w:sz="4"/>
                    <w:right w:val="single" w:color="000000" w:sz="4"/>
                  </w:tcBorders>
                </w:tcPr>
                <w:p/>
              </w:tc>
              <w:tc>
                <w:tcPr>
                  <w:tcW w:type="dxa" w:w="1936"/>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重点监控病种：月份、科室名称、出院人数、均次费用、均次药费、药占比、平均住院日等。</w:t>
                  </w:r>
                </w:p>
              </w:tc>
            </w:tr>
            <w:tr>
              <w:tc>
                <w:tcPr>
                  <w:tcW w:type="dxa" w:w="303"/>
                  <w:vMerge/>
                  <w:tcBorders>
                    <w:top w:val="none" w:color="000000" w:sz="4"/>
                    <w:left w:val="single" w:color="000000" w:sz="4"/>
                    <w:bottom w:val="single" w:color="000000" w:sz="4"/>
                    <w:right w:val="single" w:color="000000" w:sz="4"/>
                  </w:tcBorders>
                </w:tcPr>
                <w:p/>
              </w:tc>
              <w:tc>
                <w:tcPr>
                  <w:tcW w:type="dxa" w:w="312"/>
                  <w:vMerge/>
                  <w:tcBorders>
                    <w:top w:val="none" w:color="000000" w:sz="4"/>
                    <w:left w:val="none" w:color="000000" w:sz="4"/>
                    <w:bottom w:val="single" w:color="000000" w:sz="4"/>
                    <w:right w:val="single" w:color="000000" w:sz="4"/>
                  </w:tcBorders>
                </w:tcPr>
                <w:p/>
              </w:tc>
              <w:tc>
                <w:tcPr>
                  <w:tcW w:type="dxa" w:w="1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重点监控术种：月份、科室名称、出院人数、均次费用、均次药费、药占比、平均住院日、术前等待时间、均次卫材费、卫材占比等。</w:t>
                  </w:r>
                </w:p>
              </w:tc>
            </w:tr>
            <w:tr>
              <w:tc>
                <w:tcPr>
                  <w:tcW w:type="dxa" w:w="303"/>
                  <w:vMerge/>
                  <w:tcBorders>
                    <w:top w:val="none" w:color="000000" w:sz="4"/>
                    <w:left w:val="single" w:color="000000" w:sz="4"/>
                    <w:bottom w:val="single" w:color="000000" w:sz="4"/>
                    <w:right w:val="single" w:color="000000" w:sz="4"/>
                  </w:tcBorders>
                </w:tcPr>
                <w:p/>
              </w:tc>
              <w:tc>
                <w:tcPr>
                  <w:tcW w:type="dxa" w:w="31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1.1.6</w:t>
                  </w:r>
                </w:p>
              </w:tc>
              <w:tc>
                <w:tcPr>
                  <w:tcW w:type="dxa" w:w="1936"/>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自定义配置功能</w:t>
                  </w:r>
                </w:p>
              </w:tc>
            </w:tr>
            <w:tr>
              <w:tc>
                <w:tcPr>
                  <w:tcW w:type="dxa" w:w="303"/>
                  <w:vMerge/>
                  <w:tcBorders>
                    <w:top w:val="none" w:color="000000" w:sz="4"/>
                    <w:left w:val="single" w:color="000000" w:sz="4"/>
                    <w:bottom w:val="single" w:color="000000" w:sz="4"/>
                    <w:right w:val="single" w:color="000000" w:sz="4"/>
                  </w:tcBorders>
                </w:tcPr>
                <w:p/>
              </w:tc>
              <w:tc>
                <w:tcPr>
                  <w:tcW w:type="dxa" w:w="312"/>
                  <w:vMerge/>
                  <w:tcBorders>
                    <w:top w:val="none" w:color="000000" w:sz="4"/>
                    <w:left w:val="none" w:color="000000" w:sz="4"/>
                    <w:bottom w:val="single" w:color="000000" w:sz="4"/>
                    <w:right w:val="single" w:color="000000" w:sz="4"/>
                  </w:tcBorders>
                </w:tcPr>
                <w:p/>
              </w:tc>
              <w:tc>
                <w:tcPr>
                  <w:tcW w:type="dxa" w:w="1936"/>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可按医院要求对系统进行个性化配置，满足医院特定要求，帮助医院更好的应用系统。包含但不限于以下的自定义配置：</w:t>
                  </w:r>
                </w:p>
              </w:tc>
            </w:tr>
            <w:tr>
              <w:tc>
                <w:tcPr>
                  <w:tcW w:type="dxa" w:w="303"/>
                  <w:vMerge/>
                  <w:tcBorders>
                    <w:top w:val="none" w:color="000000" w:sz="4"/>
                    <w:left w:val="single" w:color="000000" w:sz="4"/>
                    <w:bottom w:val="single" w:color="000000" w:sz="4"/>
                    <w:right w:val="single" w:color="000000" w:sz="4"/>
                  </w:tcBorders>
                </w:tcPr>
                <w:p/>
              </w:tc>
              <w:tc>
                <w:tcPr>
                  <w:tcW w:type="dxa" w:w="312"/>
                  <w:vMerge/>
                  <w:tcBorders>
                    <w:top w:val="none" w:color="000000" w:sz="4"/>
                    <w:left w:val="none" w:color="000000" w:sz="4"/>
                    <w:bottom w:val="single" w:color="000000" w:sz="4"/>
                    <w:right w:val="single" w:color="000000" w:sz="4"/>
                  </w:tcBorders>
                </w:tcPr>
                <w:p/>
              </w:tc>
              <w:tc>
                <w:tcPr>
                  <w:tcW w:type="dxa" w:w="1936"/>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a. RW</w:t>
                  </w:r>
                  <w:r>
                    <w:rPr>
                      <w:rFonts w:ascii="仿宋_GB2312" w:hAnsi="仿宋_GB2312" w:cs="仿宋_GB2312" w:eastAsia="仿宋_GB2312"/>
                      <w:sz w:val="21"/>
                      <w:color w:val="000000"/>
                    </w:rPr>
                    <w:t>区间配置。</w:t>
                  </w:r>
                </w:p>
              </w:tc>
            </w:tr>
            <w:tr>
              <w:tc>
                <w:tcPr>
                  <w:tcW w:type="dxa" w:w="303"/>
                  <w:vMerge/>
                  <w:tcBorders>
                    <w:top w:val="none" w:color="000000" w:sz="4"/>
                    <w:left w:val="single" w:color="000000" w:sz="4"/>
                    <w:bottom w:val="single" w:color="000000" w:sz="4"/>
                    <w:right w:val="single" w:color="000000" w:sz="4"/>
                  </w:tcBorders>
                </w:tcPr>
                <w:p/>
              </w:tc>
              <w:tc>
                <w:tcPr>
                  <w:tcW w:type="dxa" w:w="312"/>
                  <w:vMerge/>
                  <w:tcBorders>
                    <w:top w:val="none" w:color="000000" w:sz="4"/>
                    <w:left w:val="none" w:color="000000" w:sz="4"/>
                    <w:bottom w:val="single" w:color="000000" w:sz="4"/>
                    <w:right w:val="single" w:color="000000" w:sz="4"/>
                  </w:tcBorders>
                </w:tcPr>
                <w:p/>
              </w:tc>
              <w:tc>
                <w:tcPr>
                  <w:tcW w:type="dxa" w:w="1936"/>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 xml:space="preserve">b. </w:t>
                  </w:r>
                  <w:r>
                    <w:rPr>
                      <w:rFonts w:ascii="仿宋_GB2312" w:hAnsi="仿宋_GB2312" w:cs="仿宋_GB2312" w:eastAsia="仿宋_GB2312"/>
                      <w:sz w:val="21"/>
                      <w:color w:val="000000"/>
                    </w:rPr>
                    <w:t>选择使用院方自带的手术分级。</w:t>
                  </w:r>
                </w:p>
              </w:tc>
            </w:tr>
            <w:tr>
              <w:tc>
                <w:tcPr>
                  <w:tcW w:type="dxa" w:w="303"/>
                  <w:vMerge/>
                  <w:tcBorders>
                    <w:top w:val="none" w:color="000000" w:sz="4"/>
                    <w:left w:val="single" w:color="000000" w:sz="4"/>
                    <w:bottom w:val="single" w:color="000000" w:sz="4"/>
                    <w:right w:val="single" w:color="000000" w:sz="4"/>
                  </w:tcBorders>
                </w:tcPr>
                <w:p/>
              </w:tc>
              <w:tc>
                <w:tcPr>
                  <w:tcW w:type="dxa" w:w="312"/>
                  <w:vMerge/>
                  <w:tcBorders>
                    <w:top w:val="none" w:color="000000" w:sz="4"/>
                    <w:left w:val="none" w:color="000000" w:sz="4"/>
                    <w:bottom w:val="single" w:color="000000" w:sz="4"/>
                    <w:right w:val="single" w:color="000000" w:sz="4"/>
                  </w:tcBorders>
                </w:tcPr>
                <w:p/>
              </w:tc>
              <w:tc>
                <w:tcPr>
                  <w:tcW w:type="dxa" w:w="1936"/>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 xml:space="preserve">c. </w:t>
                  </w:r>
                  <w:r>
                    <w:rPr>
                      <w:rFonts w:ascii="仿宋_GB2312" w:hAnsi="仿宋_GB2312" w:cs="仿宋_GB2312" w:eastAsia="仿宋_GB2312"/>
                      <w:sz w:val="21"/>
                      <w:color w:val="000000"/>
                    </w:rPr>
                    <w:t>自定义单病种</w:t>
                  </w:r>
                  <w:r>
                    <w:rPr>
                      <w:rFonts w:ascii="仿宋_GB2312" w:hAnsi="仿宋_GB2312" w:cs="仿宋_GB2312" w:eastAsia="仿宋_GB2312"/>
                      <w:sz w:val="21"/>
                      <w:color w:val="000000"/>
                    </w:rPr>
                    <w:t>/</w:t>
                  </w:r>
                  <w:r>
                    <w:rPr>
                      <w:rFonts w:ascii="仿宋_GB2312" w:hAnsi="仿宋_GB2312" w:cs="仿宋_GB2312" w:eastAsia="仿宋_GB2312"/>
                      <w:sz w:val="21"/>
                      <w:color w:val="000000"/>
                    </w:rPr>
                    <w:t>术种。</w:t>
                  </w:r>
                </w:p>
              </w:tc>
            </w:tr>
            <w:tr>
              <w:tc>
                <w:tcPr>
                  <w:tcW w:type="dxa" w:w="303"/>
                  <w:vMerge/>
                  <w:tcBorders>
                    <w:top w:val="none" w:color="000000" w:sz="4"/>
                    <w:left w:val="single" w:color="000000" w:sz="4"/>
                    <w:bottom w:val="single" w:color="000000" w:sz="4"/>
                    <w:right w:val="single" w:color="000000" w:sz="4"/>
                  </w:tcBorders>
                </w:tcPr>
                <w:p/>
              </w:tc>
              <w:tc>
                <w:tcPr>
                  <w:tcW w:type="dxa" w:w="312"/>
                  <w:vMerge/>
                  <w:tcBorders>
                    <w:top w:val="none" w:color="000000" w:sz="4"/>
                    <w:left w:val="none" w:color="000000" w:sz="4"/>
                    <w:bottom w:val="single" w:color="000000" w:sz="4"/>
                    <w:right w:val="single" w:color="000000" w:sz="4"/>
                  </w:tcBorders>
                </w:tcPr>
                <w:p/>
              </w:tc>
              <w:tc>
                <w:tcPr>
                  <w:tcW w:type="dxa" w:w="1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 xml:space="preserve">d. </w:t>
                  </w:r>
                  <w:r>
                    <w:rPr>
                      <w:rFonts w:ascii="仿宋_GB2312" w:hAnsi="仿宋_GB2312" w:cs="仿宋_GB2312" w:eastAsia="仿宋_GB2312"/>
                      <w:sz w:val="21"/>
                      <w:color w:val="000000"/>
                    </w:rPr>
                    <w:t>自定义报表。</w:t>
                  </w:r>
                </w:p>
              </w:tc>
            </w:tr>
            <w:tr>
              <w:tc>
                <w:tcPr>
                  <w:tcW w:type="dxa" w:w="303"/>
                  <w:vMerge/>
                  <w:tcBorders>
                    <w:top w:val="none" w:color="000000" w:sz="4"/>
                    <w:left w:val="single" w:color="000000" w:sz="4"/>
                    <w:bottom w:val="single" w:color="000000" w:sz="4"/>
                    <w:right w:val="single" w:color="000000" w:sz="4"/>
                  </w:tcBorders>
                </w:tcP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1.2</w:t>
                  </w:r>
                </w:p>
              </w:tc>
              <w:tc>
                <w:tcPr>
                  <w:tcW w:type="dxa" w:w="193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21"/>
                      <w:color w:val="000000"/>
                    </w:rPr>
                    <w:t>大数据分析功能</w:t>
                  </w:r>
                </w:p>
              </w:tc>
            </w:tr>
            <w:tr>
              <w:tc>
                <w:tcPr>
                  <w:tcW w:type="dxa" w:w="303"/>
                  <w:vMerge/>
                  <w:tcBorders>
                    <w:top w:val="none" w:color="000000" w:sz="4"/>
                    <w:left w:val="single" w:color="000000" w:sz="4"/>
                    <w:bottom w:val="single" w:color="000000" w:sz="4"/>
                    <w:right w:val="single" w:color="000000" w:sz="4"/>
                  </w:tcBorders>
                </w:tcP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1.2.1</w:t>
                  </w:r>
                </w:p>
              </w:tc>
              <w:tc>
                <w:tcPr>
                  <w:tcW w:type="dxa" w:w="19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综合国考监测指标、</w:t>
                  </w:r>
                  <w:r>
                    <w:rPr>
                      <w:rFonts w:ascii="仿宋_GB2312" w:hAnsi="仿宋_GB2312" w:cs="仿宋_GB2312" w:eastAsia="仿宋_GB2312"/>
                      <w:sz w:val="21"/>
                      <w:color w:val="000000"/>
                    </w:rPr>
                    <w:t>DRG</w:t>
                  </w:r>
                  <w:r>
                    <w:rPr>
                      <w:rFonts w:ascii="仿宋_GB2312" w:hAnsi="仿宋_GB2312" w:cs="仿宋_GB2312" w:eastAsia="仿宋_GB2312"/>
                      <w:sz w:val="21"/>
                      <w:color w:val="000000"/>
                    </w:rPr>
                    <w:t>指标、重点病种术种提供多维度组合的大数据分析功能，包括并不限于：</w:t>
                  </w:r>
                </w:p>
                <w:p>
                  <w:pPr>
                    <w:pStyle w:val="null3"/>
                    <w:jc w:val="left"/>
                  </w:pPr>
                  <w:r>
                    <w:rPr>
                      <w:rFonts w:ascii="仿宋_GB2312" w:hAnsi="仿宋_GB2312" w:cs="仿宋_GB2312" w:eastAsia="仿宋_GB2312"/>
                      <w:sz w:val="21"/>
                      <w:color w:val="000000"/>
                    </w:rPr>
                    <w:t>基于上述组合指标的综合评价；</w:t>
                  </w:r>
                </w:p>
                <w:p>
                  <w:pPr>
                    <w:pStyle w:val="null3"/>
                    <w:jc w:val="left"/>
                  </w:pPr>
                  <w:r>
                    <w:rPr>
                      <w:rFonts w:ascii="仿宋_GB2312" w:hAnsi="仿宋_GB2312" w:cs="仿宋_GB2312" w:eastAsia="仿宋_GB2312"/>
                      <w:sz w:val="21"/>
                      <w:color w:val="000000"/>
                    </w:rPr>
                    <w:t>上述指标的全国或陕西省同级同类医院标杆值比较；</w:t>
                  </w:r>
                </w:p>
                <w:p>
                  <w:pPr>
                    <w:pStyle w:val="null3"/>
                    <w:jc w:val="left"/>
                  </w:pPr>
                  <w:r>
                    <w:rPr>
                      <w:rFonts w:ascii="仿宋_GB2312" w:hAnsi="仿宋_GB2312" w:cs="仿宋_GB2312" w:eastAsia="仿宋_GB2312"/>
                      <w:sz w:val="21"/>
                      <w:color w:val="000000"/>
                    </w:rPr>
                    <w:t>目标值比较分析。</w:t>
                  </w:r>
                </w:p>
              </w:tc>
            </w:tr>
            <w:tr>
              <w:tc>
                <w:tcPr>
                  <w:tcW w:type="dxa" w:w="303"/>
                  <w:vMerge/>
                  <w:tcBorders>
                    <w:top w:val="none" w:color="000000" w:sz="4"/>
                    <w:left w:val="single" w:color="000000" w:sz="4"/>
                    <w:bottom w:val="single" w:color="000000" w:sz="4"/>
                    <w:right w:val="single" w:color="000000" w:sz="4"/>
                  </w:tcBorders>
                </w:tcP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1.3</w:t>
                  </w:r>
                </w:p>
              </w:tc>
              <w:tc>
                <w:tcPr>
                  <w:tcW w:type="dxa" w:w="19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数据分析报告功能</w:t>
                  </w:r>
                </w:p>
              </w:tc>
            </w:tr>
            <w:tr>
              <w:tc>
                <w:tcPr>
                  <w:tcW w:type="dxa" w:w="303"/>
                  <w:vMerge/>
                  <w:tcBorders>
                    <w:top w:val="none" w:color="000000" w:sz="4"/>
                    <w:left w:val="single" w:color="000000" w:sz="4"/>
                    <w:bottom w:val="single" w:color="000000" w:sz="4"/>
                    <w:right w:val="single" w:color="000000" w:sz="4"/>
                  </w:tcBorders>
                </w:tcP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1.3.1</w:t>
                  </w:r>
                </w:p>
              </w:tc>
              <w:tc>
                <w:tcPr>
                  <w:tcW w:type="dxa" w:w="19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能按上述功能生成自定义时间段的分析报告，包括并不限于</w:t>
                  </w:r>
                  <w:r>
                    <w:rPr>
                      <w:rFonts w:ascii="仿宋_GB2312" w:hAnsi="仿宋_GB2312" w:cs="仿宋_GB2312" w:eastAsia="仿宋_GB2312"/>
                      <w:sz w:val="21"/>
                      <w:color w:val="000000"/>
                    </w:rPr>
                    <w:t>word</w:t>
                  </w:r>
                  <w:r>
                    <w:rPr>
                      <w:rFonts w:ascii="仿宋_GB2312" w:hAnsi="仿宋_GB2312" w:cs="仿宋_GB2312" w:eastAsia="仿宋_GB2312"/>
                      <w:sz w:val="21"/>
                      <w:color w:val="000000"/>
                    </w:rPr>
                    <w:t>版本、</w:t>
                  </w:r>
                  <w:r>
                    <w:rPr>
                      <w:rFonts w:ascii="仿宋_GB2312" w:hAnsi="仿宋_GB2312" w:cs="仿宋_GB2312" w:eastAsia="仿宋_GB2312"/>
                      <w:sz w:val="21"/>
                      <w:color w:val="000000"/>
                    </w:rPr>
                    <w:t>pdf</w:t>
                  </w:r>
                  <w:r>
                    <w:rPr>
                      <w:rFonts w:ascii="仿宋_GB2312" w:hAnsi="仿宋_GB2312" w:cs="仿宋_GB2312" w:eastAsia="仿宋_GB2312"/>
                      <w:sz w:val="21"/>
                      <w:color w:val="000000"/>
                    </w:rPr>
                    <w:t>版本等。</w:t>
                  </w:r>
                </w:p>
              </w:tc>
            </w:tr>
          </w:tbl>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4"/>
              </w:rPr>
              <w:t>三、方案要求</w:t>
            </w:r>
          </w:p>
          <w:p>
            <w:pPr>
              <w:pStyle w:val="null3"/>
            </w:pPr>
            <w:r>
              <w:rPr>
                <w:rFonts w:ascii="仿宋_GB2312" w:hAnsi="仿宋_GB2312" w:cs="仿宋_GB2312" w:eastAsia="仿宋_GB2312"/>
                <w:sz w:val="24"/>
              </w:rPr>
              <w:t>为保证项目按时按质顺利完成，投标人必须提供完善的项目实施方案，提供详细的项目实施计划表（以天为单位）和各阶段各方人员安排及相关的工作内容（甘特图）；提出完整、合理、可行的项目管理计划，其中包括关于项目进度控制、里程碑、质量控制、风险控制、合同管理、文档管理以及与本项目相关的协调工作等的详细描述。投标人所提供的数据库软件、操作系统、应用软件、技术资料等均是合法取得，拥有自主版权或使用权，不会因为采购人的使用而被责令停止、追偿或要求赔偿损失。如出现此情况，一切经济和法律责任由投标人承担。项目实施必须根据采购人需求进行开发、设计、实施，包含定制性开发的相关内容。</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sz w:val="24"/>
              </w:rPr>
              <w:t>四、项目管理要求</w:t>
            </w:r>
          </w:p>
          <w:p>
            <w:pPr>
              <w:pStyle w:val="null3"/>
            </w:pPr>
            <w:r>
              <w:rPr>
                <w:rFonts w:ascii="仿宋_GB2312" w:hAnsi="仿宋_GB2312" w:cs="仿宋_GB2312" w:eastAsia="仿宋_GB2312"/>
                <w:sz w:val="24"/>
              </w:rPr>
              <w:t>项目应建立专门的项目开发组和管理组，由专人负责，包含实施本项目所必须的各类技术和管理人员，投标人选派参加本项目管理的项目经理应具有同类同规模项目的实施管理经验，选派的项目组主要成员应参加过同类同规模项目的实施。项目实施过程中，项目经理和项目组主要成员未经招标人同意不得擅自更换，擅自变更扣减合同金额</w:t>
            </w:r>
            <w:r>
              <w:rPr>
                <w:rFonts w:ascii="仿宋_GB2312" w:hAnsi="仿宋_GB2312" w:cs="仿宋_GB2312" w:eastAsia="仿宋_GB2312"/>
                <w:sz w:val="24"/>
              </w:rPr>
              <w:t>10%</w:t>
            </w:r>
            <w:r>
              <w:rPr>
                <w:rFonts w:ascii="仿宋_GB2312" w:hAnsi="仿宋_GB2312" w:cs="仿宋_GB2312" w:eastAsia="仿宋_GB2312"/>
                <w:sz w:val="24"/>
              </w:rPr>
              <w:t>。本项目要求技术人员驻场实施。投标人的项目实施方案中应包含对项目组织机构及项目实施人员的详细描述，并附项目组织机构示意图和项目实施人员简历。投标人还应对采购人的项目实施组织模式给出相应建议</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合同签订后60天内完成上线及初步验收，初验完成并试运行60天完成最终验收</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本项目的验收分初验和终验两个阶段，根据采购人的项目实施进度要求，系统完成开发部署，整体上线后进行项目初验，并进入试运行阶段，试运行期满达到招标要求后进行终验。 投标人要提供详尽的项目验收方案，包括验收组织、验收内容、验收标准、验收报告等。 初验:投标人应负责在项目完成上线后，向甲方主管部门提交项目需求规格说明书、项目详细设计说明书、接口设计详细说明文档及技术手册、系统编码规范、系统测试验收方案、系统安装维护手册、系统操作手册、系统测试报告等（包括整理成册的书面文档和电子文档介质）及其他与本系统开发相关的各类文档资料和系统可执行程序（不仅限于以上文档），申请进行初验。 终验:投标人应负责在项目初验完成并试运行60天后，正式向甲方采购部门申请进行项目最终验收，终验时将系统从合同签订之日起所有关于本项目的文档资料（在初步验收基础上，包括初步验收文档的版本更新和试运行期产生的文档、系统程序）全部交付采购人，由甲方采购部门组织进行现场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项目最终验收通过后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维护满1年后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详见合同范本</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【培训要求】 （1）培训计划 投标人负责对采购人提供技术培训，包括操作人员培训和管理维护人员培训。投标人应在投标文件中提出培训计划，计划包括培训类别、培训项目、人数、时间、地点及培训方式等详细内容，达到使相关人员熟练使用系统的目的。培训前，投标人需编制完成完善的技术档案。 （2）培训内容 软件的使用（操作培训），具体包括：全院操作人员的大课、小课操作培训，基本功能培训，软件系统常见的个人配置和管理。 软件的维护培训（管理员培训），安装、测试培训，包括：软件的安装、调试；软件的系统配置和管理；常见故障的检查、处理和解决方法；软硬件的测试方法等。 日常维护培训，包括：系统的日常维护方法与注意事项；紧急情况的处理方法；值班、监视、记录、数据及资料的收集和整理的训练；常见故障的排除及日常维护、保养方法；在各种不正常情况出现时维持系统运行的操作技巧。 （3）培训效果 通过培训后，使操作员能熟练操作系统并掌握一定的个人设置、配置管理方法，以及一些常见的使用技巧；管理人员能够独立完成系统的配置和管理，在交工验收后，能胜任系统的保养、操作、维护、管理及故障分析和处理等工作，能利用系统自定义的管理工具，胜任简单的功能扩展工作，满足业务发展过程中对应用系统需求的变更要求。 【验收要求】 本项目的验收分初验和终验两个阶段，根据采购人的项目实施进度要求，系统完成开发部署，整体上线后进行项目初验，并进入试运行阶段，试运行期满达到招标要求后进行终验。投标人要提供详尽的项目验收方案，包括验收组织、验收内容、验收标准、验收报告等。 初验:投标人应负责在项目完成上线后，向甲方主管部门提交项目需求规格说明书、项目详细设计说明书、接口设计详细说明文档及技术手册、系统编码规范、系统测试验收方案、系统安装维护手册、系统操作手册、系统测试报告等（包括整理成册的书面文档和电子文档介质）及其他与本系统开发相关的各类文档资料和系统可执行程序（不仅限于以上文档），申请进行初验。 终验:投标人应负责在项目初验完成并试运行60天后，正式向甲方采购部门申请进行项目最终验收，终验时将系统从合同签订之日起所有关于本项目的文档资料（在初步验收基础上，包括初步验收文档的版本更新和试运行期产生的文档、系统程序）全部交付采购人，由甲方采购部门组织进行现场验收。 【售后服务要求】 本项目质保期不少于24个月，指项目通过验收之日起，投标人必须提供至少24个月的原厂维护、升级服务（无论升级版本大小，有新版本必须及时通知甲方，是否升级由甲方自行决定）（费用包含在投标报价中）。 投标人保证有专门的客户服务机构和人员，能够提供7×24小时电话服务响应；对于必须派人现场解决的问题，保证在收到现场服务通知后，6小时内到达现场解决问题，对于系统故障，要求提供快速响应机制，满足医院业务连续性要求。 在服务期内，投标人根据使用方的业务需求变化进行二次开发和本地化服务；在需要与其他系统实现对接或者数据交互时，投标人应提供相应的技术支持和数据接口（费用包含在投标报价中），配合第三方做好技术衔接工作，不得以任何借口推诿并收取费用。在项目实施过程中，与医院现有信息化系统实现数据对接，所产生的接口费用已包含在本次投标报价中，由本项目中标方承担。 投标人在投标文件中应提出质保期过后的升级、维护服务方案（必须含大小版本的升级），并对服务内容、费用、方式、范围（产品、技术、模块）等方面进行承诺，质保期过后维保服务收费标准须≤合同金额×8%。 投标人为本项目提供定期健康检查服务，在服务期内每季度进行一次产品巡检和用户回访，并组织用户、厂商，进行技术交流，提高整体维护水平，减少故障隐患。 【其它要求】 投标人应承诺在满足售后服务的基础上，根据医院需求，为医院提供智慧医院、智慧服务、智慧管理、互联互通等评级服务，具体内容不限于系统配置截图、应用数据统计、业务字段拆分、整合等。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提供盖章的《汉中市政府采购供应商资格承诺函》</w:t>
            </w:r>
          </w:p>
        </w:tc>
        <w:tc>
          <w:tcPr>
            <w:tcW w:type="dxa" w:w="1661"/>
          </w:tcPr>
          <w:p>
            <w:pPr>
              <w:pStyle w:val="null3"/>
            </w:pPr>
            <w:r>
              <w:rPr>
                <w:rFonts w:ascii="仿宋_GB2312" w:hAnsi="仿宋_GB2312" w:cs="仿宋_GB2312" w:eastAsia="仿宋_GB2312"/>
              </w:rPr>
              <w:t>投标函 汉中市政府采购供应商资格承诺函.docx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提供盖章的《汉中市政府采购供应商资格承诺函》</w:t>
            </w:r>
          </w:p>
        </w:tc>
        <w:tc>
          <w:tcPr>
            <w:tcW w:type="dxa" w:w="1661"/>
          </w:tcPr>
          <w:p>
            <w:pPr>
              <w:pStyle w:val="null3"/>
            </w:pPr>
            <w:r>
              <w:rPr>
                <w:rFonts w:ascii="仿宋_GB2312" w:hAnsi="仿宋_GB2312" w:cs="仿宋_GB2312" w:eastAsia="仿宋_GB2312"/>
              </w:rPr>
              <w:t>汉中市政府采购供应商资格承诺函.docx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特定资格要求</w:t>
            </w:r>
          </w:p>
        </w:tc>
        <w:tc>
          <w:tcPr>
            <w:tcW w:type="dxa" w:w="3322"/>
          </w:tcPr>
          <w:p>
            <w:pPr>
              <w:pStyle w:val="null3"/>
            </w:pPr>
            <w:r>
              <w:rPr>
                <w:rFonts w:ascii="仿宋_GB2312" w:hAnsi="仿宋_GB2312" w:cs="仿宋_GB2312" w:eastAsia="仿宋_GB2312"/>
              </w:rPr>
              <w:t>1投标供应商的企业法人营业执照； 2投标供应商参加本项目的合法授权人授权委托书；投标供应商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 3提供盖章的《汉中市政府采购供应商资格承诺函》</w:t>
            </w:r>
          </w:p>
        </w:tc>
        <w:tc>
          <w:tcPr>
            <w:tcW w:type="dxa" w:w="1661"/>
          </w:tcPr>
          <w:p>
            <w:pPr>
              <w:pStyle w:val="null3"/>
            </w:pPr>
            <w:r>
              <w:rPr>
                <w:rFonts w:ascii="仿宋_GB2312" w:hAnsi="仿宋_GB2312" w:cs="仿宋_GB2312" w:eastAsia="仿宋_GB2312"/>
              </w:rPr>
              <w:t>汉中市政府采购供应商资格承诺函.docx 特定资格要求材料.docx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本项目专门面向中小企业采购，供应商应按要求提供中小企业声明函或残疾人福利性单位声明函或监狱企业证明函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投标无效条件：投标文件未按招标文件要求签署、盖章的</w:t>
            </w:r>
          </w:p>
        </w:tc>
        <w:tc>
          <w:tcPr>
            <w:tcW w:type="dxa" w:w="1661"/>
          </w:tcPr>
          <w:p>
            <w:pPr>
              <w:pStyle w:val="null3"/>
            </w:pPr>
            <w:r>
              <w:rPr>
                <w:rFonts w:ascii="仿宋_GB2312" w:hAnsi="仿宋_GB2312" w:cs="仿宋_GB2312" w:eastAsia="仿宋_GB2312"/>
              </w:rPr>
              <w:t>投标保证金支付凭证或担保函.docx 开标一览表 业绩一览表.docx 中小企业声明函 汉中市政府采购供应商资格承诺函.docx 特定资格要求材料.docx 投标分项报价表.docx 投标函 残疾人福利性单位声明函 服务要求响应偏离表及相关证明资料.docx 标的清单 投标文件封面 商务条款偏离表.docx 服务方案.docx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投标无效条件：投标人投标报价超出采购预算或最高限价的</w:t>
            </w:r>
          </w:p>
        </w:tc>
        <w:tc>
          <w:tcPr>
            <w:tcW w:type="dxa" w:w="1661"/>
          </w:tcPr>
          <w:p>
            <w:pPr>
              <w:pStyle w:val="null3"/>
            </w:pPr>
            <w:r>
              <w:rPr>
                <w:rFonts w:ascii="仿宋_GB2312" w:hAnsi="仿宋_GB2312" w:cs="仿宋_GB2312" w:eastAsia="仿宋_GB2312"/>
              </w:rPr>
              <w:t>开标一览表 投标分项报价表.docx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投标分项报价表.docx 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投标无效条件：投标有效期不满足招标文件要求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投标无效条件：投标保证金未提交或金额、形 式不符合招标文件要求的</w:t>
            </w:r>
          </w:p>
        </w:tc>
        <w:tc>
          <w:tcPr>
            <w:tcW w:type="dxa" w:w="1661"/>
          </w:tcPr>
          <w:p>
            <w:pPr>
              <w:pStyle w:val="null3"/>
            </w:pPr>
            <w:r>
              <w:rPr>
                <w:rFonts w:ascii="仿宋_GB2312" w:hAnsi="仿宋_GB2312" w:cs="仿宋_GB2312" w:eastAsia="仿宋_GB2312"/>
              </w:rPr>
              <w:t>投标保证金支付凭证或担保函.docx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投标无效条件：未满足招标文件中商务要求或投标内容出现漏项或数量与要求不符</w:t>
            </w:r>
          </w:p>
        </w:tc>
        <w:tc>
          <w:tcPr>
            <w:tcW w:type="dxa" w:w="1661"/>
          </w:tcPr>
          <w:p>
            <w:pPr>
              <w:pStyle w:val="null3"/>
            </w:pPr>
            <w:r>
              <w:rPr>
                <w:rFonts w:ascii="仿宋_GB2312" w:hAnsi="仿宋_GB2312" w:cs="仿宋_GB2312" w:eastAsia="仿宋_GB2312"/>
              </w:rPr>
              <w:t>投标分项报价表.docx 服务要求响应偏离表及相关证明资料.docx 标的清单 商务条款偏离表.docx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投标无效条件：存在其它不符合法律法规或招标文件规定的投标无效条款</w:t>
            </w:r>
          </w:p>
        </w:tc>
        <w:tc>
          <w:tcPr>
            <w:tcW w:type="dxa" w:w="1661"/>
          </w:tcPr>
          <w:p>
            <w:pPr>
              <w:pStyle w:val="null3"/>
            </w:pPr>
            <w:r>
              <w:rPr>
                <w:rFonts w:ascii="仿宋_GB2312" w:hAnsi="仿宋_GB2312" w:cs="仿宋_GB2312" w:eastAsia="仿宋_GB2312"/>
              </w:rPr>
              <w:t>投标保证金支付凭证或担保函.docx 开标一览表 业绩一览表.docx 中小企业声明函 汉中市政府采购供应商资格承诺函.docx 特定资格要求材料.docx 投标分项报价表.docx 投标函 残疾人福利性单位声明函 服务要求响应偏离表及相关证明资料.docx 标的清单 投标文件封面 商务条款偏离表.docx 服务方案.docx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提供自2020年1月1日至投标截止之日，本投标人或投标产品厂家的“DRG分析系统”软件产品相关项目案例，每提供一家用户案例得1分，满分5分。 注：提供项目合同及验收报告复印件并加盖公章。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质量保证及服务维护能力</w:t>
            </w:r>
          </w:p>
        </w:tc>
        <w:tc>
          <w:tcPr>
            <w:tcW w:type="dxa" w:w="2492"/>
          </w:tcPr>
          <w:p>
            <w:pPr>
              <w:pStyle w:val="null3"/>
            </w:pPr>
            <w:r>
              <w:rPr>
                <w:rFonts w:ascii="仿宋_GB2312" w:hAnsi="仿宋_GB2312" w:cs="仿宋_GB2312" w:eastAsia="仿宋_GB2312"/>
              </w:rPr>
              <w:t>制造商或代理商具有： ①ISO9001质量管理体系认证证书，得1分； ②ISO/IEC27001信息安全管理体系认证证书，得1分； ③ISO20000信息技术服务管理体系认证证书，得1分； ④ISO14001环境管理体系认证证书，得1分； ⑤ISO37001反贿赂管理体系认证证书，得1分； ⑥ISO45001职业健康安全管理体系认证证书，得1分； ⑦制造商或代理商具有知识产权管理体系认证证书，得1分。 ⑧拥有独立软件著作权，提供人民共和国国家版权局计算机软件著作权登记证书（软件名称栏中须包含“DRG”或“疾病诊断相关分组”等名称关键词），得3分。 注：提供证书复印件并加盖投标单位公章。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软件成熟度</w:t>
            </w:r>
          </w:p>
        </w:tc>
        <w:tc>
          <w:tcPr>
            <w:tcW w:type="dxa" w:w="2492"/>
          </w:tcPr>
          <w:p>
            <w:pPr>
              <w:pStyle w:val="null3"/>
            </w:pPr>
            <w:r>
              <w:rPr>
                <w:rFonts w:ascii="仿宋_GB2312" w:hAnsi="仿宋_GB2312" w:cs="仿宋_GB2312" w:eastAsia="仿宋_GB2312"/>
              </w:rPr>
              <w:t>1、软件制造商或代理商具有软件成熟度测评证书。 软件成熟度CMMI5级认证证书，得3分； 软件成熟度CMMI4级认证证书，得2分； 软件成熟度CMMI3级认证证书，得1分； 其他等级得0.5分； 不提供不得分。 注：提供证书复印件并加盖投标单位公章。 2、制造商或代理商具有本次招标信息系统各软件《软件产品证书》和第三方出具的软件测试报告，具有“DRG分组器”、“手术分级”、“DRGs数据分析”、“智能编码”、“医院医疗质量分析”关键字（或具有相同功能表述的字段），得2分。 注：提供证明材料复印件并加盖投标单位公章。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分析服务能力</w:t>
            </w:r>
          </w:p>
        </w:tc>
        <w:tc>
          <w:tcPr>
            <w:tcW w:type="dxa" w:w="2492"/>
          </w:tcPr>
          <w:p>
            <w:pPr>
              <w:pStyle w:val="null3"/>
            </w:pPr>
            <w:r>
              <w:rPr>
                <w:rFonts w:ascii="仿宋_GB2312" w:hAnsi="仿宋_GB2312" w:cs="仿宋_GB2312" w:eastAsia="仿宋_GB2312"/>
              </w:rPr>
              <w:t>制造商或代理商具备省级医疗大数据分析能力，能提供决策分析。 评审依据：提供省级卫健委数据分析或评审评价协议合同扫描件。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制造商或代理商拟派项目团队负责人须为投标方正式聘用人员，具有高级信息系统项目管理师证书，得5分； 注：须附证书扫描件以及项目人员投标截止之日近3个月内的社保证明扫描件，加盖公章。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技术指标评审</w:t>
            </w:r>
          </w:p>
        </w:tc>
        <w:tc>
          <w:tcPr>
            <w:tcW w:type="dxa" w:w="2492"/>
          </w:tcPr>
          <w:p>
            <w:pPr>
              <w:pStyle w:val="null3"/>
            </w:pPr>
            <w:r>
              <w:rPr>
                <w:rFonts w:ascii="仿宋_GB2312" w:hAnsi="仿宋_GB2312" w:cs="仿宋_GB2312" w:eastAsia="仿宋_GB2312"/>
              </w:rPr>
              <w:t>所投DRG分析系统技术参数完全满足或优于项目要求的，得25分。一般功能参数不满足的扣2分，扣完为止。 按照技术参数要求提供相应的证明文件（包括不限于检测报告、技术白皮书、产品说明、软件界面截图等）</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服务要求响应偏离表及相关证明资料.docx</w:t>
            </w:r>
          </w:p>
        </w:tc>
      </w:tr>
      <w:tr>
        <w:tc>
          <w:tcPr>
            <w:tcW w:type="dxa" w:w="831"/>
            <w:vMerge/>
          </w:tcPr>
          <w:p/>
        </w:tc>
        <w:tc>
          <w:tcPr>
            <w:tcW w:type="dxa" w:w="1661"/>
          </w:tcPr>
          <w:p>
            <w:pPr>
              <w:pStyle w:val="null3"/>
            </w:pPr>
            <w:r>
              <w:rPr>
                <w:rFonts w:ascii="仿宋_GB2312" w:hAnsi="仿宋_GB2312" w:cs="仿宋_GB2312" w:eastAsia="仿宋_GB2312"/>
              </w:rPr>
              <w:t>方案设计</w:t>
            </w:r>
          </w:p>
        </w:tc>
        <w:tc>
          <w:tcPr>
            <w:tcW w:type="dxa" w:w="2492"/>
          </w:tcPr>
          <w:p>
            <w:pPr>
              <w:pStyle w:val="null3"/>
            </w:pPr>
            <w:r>
              <w:rPr>
                <w:rFonts w:ascii="仿宋_GB2312" w:hAnsi="仿宋_GB2312" w:cs="仿宋_GB2312" w:eastAsia="仿宋_GB2312"/>
              </w:rPr>
              <w:t>针对本项目提供合理明确的技术设计方案，方案构成合理、体系清晰、架构完整，总体设计符合相关标准、指南以及招标文件的要求。 评审说明： 方案响应项目需求且先进、合理，设计详细完整、有针对性得5分； 方案响应项目需求且较为先进、合理，设计完整得3分； 方案基本响应项目需求，设计基本完整得1分；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投标人提供完善的项目实施方案，包含但不限于详细的项目实施计划表（以天为单位）、各阶段各方人员安排及相关的工作内容（甘特图）以及项目实施组织模式的相应建议等。 评审说明： 内容完整、可实施、且有针对性得5分； 内容完整、可实施得3分； 方案基本完整得1分；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项目管理计划</w:t>
            </w:r>
          </w:p>
        </w:tc>
        <w:tc>
          <w:tcPr>
            <w:tcW w:type="dxa" w:w="2492"/>
          </w:tcPr>
          <w:p>
            <w:pPr>
              <w:pStyle w:val="null3"/>
            </w:pPr>
            <w:r>
              <w:rPr>
                <w:rFonts w:ascii="仿宋_GB2312" w:hAnsi="仿宋_GB2312" w:cs="仿宋_GB2312" w:eastAsia="仿宋_GB2312"/>
              </w:rPr>
              <w:t>提出完整、合理、可行的项目管理计划，其中包括关于项目进度控制、里程碑、质量控制、风险控制、合同管理、文档管理以及与本项目相关的协调工作等的详细描述。 评审说明： 内容完整、可实施、且有针对性得5分； 内容完整、可实施得3分； 方案基本完整得1分；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应急预案管理</w:t>
            </w:r>
          </w:p>
        </w:tc>
        <w:tc>
          <w:tcPr>
            <w:tcW w:type="dxa" w:w="2492"/>
          </w:tcPr>
          <w:p>
            <w:pPr>
              <w:pStyle w:val="null3"/>
            </w:pPr>
            <w:r>
              <w:rPr>
                <w:rFonts w:ascii="仿宋_GB2312" w:hAnsi="仿宋_GB2312" w:cs="仿宋_GB2312" w:eastAsia="仿宋_GB2312"/>
              </w:rPr>
              <w:t>提供系统建设期及系统运行期内应急预案管理方案，包含突发状况、完整预案内容、应急人员安排等内容，确保系统运行及业务连续性开展。 评审说明： 内容完整、可实施、且有针对性得5分； 内容完整、可实施得3分； 方案基本完整得1分；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技术支持方案</w:t>
            </w:r>
          </w:p>
        </w:tc>
        <w:tc>
          <w:tcPr>
            <w:tcW w:type="dxa" w:w="2492"/>
          </w:tcPr>
          <w:p>
            <w:pPr>
              <w:pStyle w:val="null3"/>
            </w:pPr>
            <w:r>
              <w:rPr>
                <w:rFonts w:ascii="仿宋_GB2312" w:hAnsi="仿宋_GB2312" w:cs="仿宋_GB2312" w:eastAsia="仿宋_GB2312"/>
              </w:rPr>
              <w:t>提供详细的技术支持方案至少包含项目验收、技术培训等。 评审说明： 内容完整、可实施、且有针对性得5分； 内容完整、可实施得3分； 方案基本完整得1分；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安全保障方案</w:t>
            </w:r>
          </w:p>
        </w:tc>
        <w:tc>
          <w:tcPr>
            <w:tcW w:type="dxa" w:w="2492"/>
          </w:tcPr>
          <w:p>
            <w:pPr>
              <w:pStyle w:val="null3"/>
            </w:pPr>
            <w:r>
              <w:rPr>
                <w:rFonts w:ascii="仿宋_GB2312" w:hAnsi="仿宋_GB2312" w:cs="仿宋_GB2312" w:eastAsia="仿宋_GB2312"/>
              </w:rPr>
              <w:t>提供信息安全保障方案（包括但不限于信息保密责任与承诺、患者就医数据隐私保护措施、过程控制等）。 评审说明： 内容完整、可实施、且有针对性得5分； 内容完整、可实施得3分； 方案基本完整得1分；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针对本项目制定的售后服务方案，包括但不限于日常的维护方案、故障处理及补救措施、本地化服务能力等。 评审说明： 内容完整、可实施、且有针对性得5分； 内容完整、可实施得3分； 方案基本完整得1分；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 投标报价得分=（评标基准价/投标报价）×价格分值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投标分项报价表.docx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详见附件：特定资格要求材料.docx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详见附件：投标保证金支付凭证或担保函.docx</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详见附件：服务要求响应偏离表及相关证明资料.docx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详见附件：第七章 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