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版本号：RDX-ZB2025第18号20250616001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汉中市重点用车企业环保门禁监管平台建设项目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RDX-ZB2025第18号</w:t>
      </w:r>
      <w:r>
        <w:br/>
      </w:r>
      <w:r>
        <w:br/>
      </w:r>
      <w:r>
        <w:br/>
      </w:r>
    </w:p>
    <w:p>
      <w:pPr>
        <w:pStyle w:val="null3"/>
        <w:jc w:val="center"/>
        <w:outlineLvl w:val="2"/>
      </w:pPr>
      <w:r>
        <w:rPr>
          <w:rFonts w:ascii="仿宋_GB2312" w:hAnsi="仿宋_GB2312" w:cs="仿宋_GB2312" w:eastAsia="仿宋_GB2312"/>
          <w:sz w:val="28"/>
          <w:b/>
        </w:rPr>
        <w:t>汉中市生态环境局</w:t>
      </w:r>
    </w:p>
    <w:p>
      <w:pPr>
        <w:pStyle w:val="null3"/>
        <w:jc w:val="center"/>
        <w:outlineLvl w:val="2"/>
      </w:pPr>
      <w:r>
        <w:rPr>
          <w:rFonts w:ascii="仿宋_GB2312" w:hAnsi="仿宋_GB2312" w:cs="仿宋_GB2312" w:eastAsia="仿宋_GB2312"/>
          <w:sz w:val="28"/>
          <w:b/>
        </w:rPr>
        <w:t>陕西容德轩项目管理有限公司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陕西容德轩项目管理有限公司</w:t>
      </w:r>
      <w:r>
        <w:rPr>
          <w:rFonts w:ascii="仿宋_GB2312" w:hAnsi="仿宋_GB2312" w:cs="仿宋_GB2312" w:eastAsia="仿宋_GB2312"/>
        </w:rPr>
        <w:t>（以下简称“代理机构”）受</w:t>
      </w:r>
      <w:r>
        <w:rPr>
          <w:rFonts w:ascii="仿宋_GB2312" w:hAnsi="仿宋_GB2312" w:cs="仿宋_GB2312" w:eastAsia="仿宋_GB2312"/>
        </w:rPr>
        <w:t>汉中市生态环境局</w:t>
      </w:r>
      <w:r>
        <w:rPr>
          <w:rFonts w:ascii="仿宋_GB2312" w:hAnsi="仿宋_GB2312" w:cs="仿宋_GB2312" w:eastAsia="仿宋_GB2312"/>
        </w:rPr>
        <w:t>委托，拟对</w:t>
      </w:r>
      <w:r>
        <w:rPr>
          <w:rFonts w:ascii="仿宋_GB2312" w:hAnsi="仿宋_GB2312" w:cs="仿宋_GB2312" w:eastAsia="仿宋_GB2312"/>
        </w:rPr>
        <w:t>汉中市重点用车企业环保门禁监管平台建设项目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RDX-ZB2025第18号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汉中市重点用车企业环保门禁监管平台建设项目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①采购内容:建设汉中市重点用车企业环保门禁监管平台。②主要功能或目标:汉中市重点用车企业环保门禁监管平台，对重点用车企业车辆运行情况实施管理。③需满足的要求:环保门禁监管平台需符合生态环境部及陕西省生态环境厅相关技术规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采购包1（汉中市重点用车企业环保门禁监管平台建设项目）：属于专门面向小微企业采购。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1、营业执照或相关证明文件：供应商须为独立承担民事责任能力的法人或其 他组织或自然人。其中企业法人应提供有效的 统一社会信用代码的营业执照，事业法人应提 供事业单位法人证、组织机构代码证等证明文 件，其他组织应提供相应的合法证明文件，自 然人提供身份证明文件；</w:t>
      </w:r>
    </w:p>
    <w:p>
      <w:pPr>
        <w:pStyle w:val="null3"/>
      </w:pPr>
      <w:r>
        <w:rPr>
          <w:rFonts w:ascii="仿宋_GB2312" w:hAnsi="仿宋_GB2312" w:cs="仿宋_GB2312" w:eastAsia="仿宋_GB2312"/>
        </w:rPr>
        <w:t>2、法定代表人或单位负责人授权书：法定代表人参加投标须提供《法定代表人身份 证明》及身份证复印件；法定代表人授权他人 参加投标，须提供《法定代表人授权委托书》 、委托代理人身份证复印件；</w:t>
      </w:r>
    </w:p>
    <w:p>
      <w:pPr>
        <w:pStyle w:val="null3"/>
      </w:pPr>
      <w:r>
        <w:rPr>
          <w:rFonts w:ascii="仿宋_GB2312" w:hAnsi="仿宋_GB2312" w:cs="仿宋_GB2312" w:eastAsia="仿宋_GB2312"/>
        </w:rPr>
        <w:t>3、供应商资格承诺函：供应商应具有良好的商业信誉和健全的财务会 计制度,具有履行合同所必需的设备和专业技术 能力,具有依法缴纳税收和社会保障金的良好记 录，参加本项目采购活动前三年内无重大违法 活动记录，未列入在信用中国网站“失信被执行 人”、“重大税收违法案件当事人名单”中，也未 列入中国政府采购网“政府采购严重违法失信行 为记录名单”中。 需提供《汉中市政府采购供应 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汉中市生态环境局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汉中市汉台区前进西路与兴元路交叉口</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汉中市大气污染防治办公室经办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（0916）2626058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陕西容德轩项目管理有限公司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陕西省汉中市汉台区南关正街汉上第一街12号楼23层09号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李雪丽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18149167567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开户名称：陕西容德轩项目管理有限公司</w:t>
            </w:r>
          </w:p>
          <w:p>
            <w:pPr>
              <w:pStyle w:val="null3"/>
            </w:pPr>
            <w:r>
              <w:rPr>
                <w:rFonts w:ascii="仿宋_GB2312" w:hAnsi="仿宋_GB2312" w:cs="仿宋_GB2312" w:eastAsia="仿宋_GB2312"/>
              </w:rPr>
              <w:t>开户银行：中国工商银行股份有限公司汉中汉江路支行</w:t>
            </w:r>
          </w:p>
          <w:p>
            <w:pPr>
              <w:pStyle w:val="null3"/>
            </w:pPr>
            <w:r>
              <w:rPr>
                <w:rFonts w:ascii="仿宋_GB2312" w:hAnsi="仿宋_GB2312" w:cs="仿宋_GB2312" w:eastAsia="仿宋_GB2312"/>
              </w:rPr>
              <w:t>银行账号：2606 0221 0920 0040 966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说明：账户名称：【汉中市财政局代管预算单位往来资金专户】 开户银行：【中国建设银行股份有限公司汉中天汉大道支行】 账号：【61001653500050000010-601001】</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代理服务费收费标准：1、招标代理服务费由采购人与采购代理机构约定：由成交人支付，并于 领取中标通知书前一次性支付清。 2、采购代理服务费的金额参照《国家发展改革委关于降低 部分建设项目收费标准规范收费行为等有关问题的通知》（发改价格[2011]534号）的有关规 定收取。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汉中市生态环境局</w:t>
      </w:r>
      <w:r>
        <w:rPr>
          <w:rFonts w:ascii="仿宋_GB2312" w:hAnsi="仿宋_GB2312" w:cs="仿宋_GB2312" w:eastAsia="仿宋_GB2312"/>
        </w:rPr>
        <w:t>和</w:t>
      </w:r>
      <w:r>
        <w:rPr>
          <w:rFonts w:ascii="仿宋_GB2312" w:hAnsi="仿宋_GB2312" w:cs="仿宋_GB2312" w:eastAsia="仿宋_GB2312"/>
        </w:rPr>
        <w:t>陕西容德轩项目管理有限公司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汉中市生态环境局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陕西容德轩项目管理有限公司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汉中市生态环境局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陕西容德轩项目管理有限公司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符合国家、省、市相关的法规和规章以及采购人的要求。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陕西容德轩项目管理有限公司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陕西容德轩项目管理有限公司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陕西容德轩项目管理有限公司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联系人：李女士</w:t>
      </w:r>
    </w:p>
    <w:p>
      <w:pPr>
        <w:pStyle w:val="null3"/>
      </w:pPr>
      <w:r>
        <w:rPr>
          <w:rFonts w:ascii="仿宋_GB2312" w:hAnsi="仿宋_GB2312" w:cs="仿宋_GB2312" w:eastAsia="仿宋_GB2312"/>
        </w:rPr>
        <w:t>联系电话：18149167567</w:t>
      </w:r>
    </w:p>
    <w:p>
      <w:pPr>
        <w:pStyle w:val="null3"/>
      </w:pPr>
      <w:r>
        <w:rPr>
          <w:rFonts w:ascii="仿宋_GB2312" w:hAnsi="仿宋_GB2312" w:cs="仿宋_GB2312" w:eastAsia="仿宋_GB2312"/>
        </w:rPr>
        <w:t>地址：陕西省汉中市汉台区南关正街汉上第一街12号楼23层09号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①采购内容:建设汉中市重点用车企业环保门禁监管平台。②主要功能或目标:汉中市重点用车企业环保门禁监管平台，对重点用车企业车辆运行情况实施管理。③需满足的要求:环保门禁监管平台需符合生态环境部及陕西省生态环境厅相关技术规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采购汉中市重点用车企业环保门禁监管平台建设服务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标的名称：采购汉中市重点用车企业环保门禁监管平台建设服务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outlineLvl w:val="2"/>
            </w:pPr>
            <w:r>
              <w:rPr>
                <w:rFonts w:ascii="仿宋_GB2312" w:hAnsi="仿宋_GB2312" w:cs="仿宋_GB2312" w:eastAsia="仿宋_GB2312"/>
                <w:sz w:val="24"/>
                <w:b/>
                <w:color w:val="000000"/>
              </w:rPr>
              <w:t>以下为本项目实质性要求（供应商必须响应并满足的参数需求）</w:t>
            </w:r>
          </w:p>
          <w:p>
            <w:pPr>
              <w:pStyle w:val="null3"/>
              <w:spacing w:before="120" w:after="120"/>
              <w:jc w:val="both"/>
              <w:outlineLvl w:val="2"/>
            </w:pPr>
            <w:r>
              <w:rPr>
                <w:rFonts w:ascii="仿宋_GB2312" w:hAnsi="仿宋_GB2312" w:cs="仿宋_GB2312" w:eastAsia="仿宋_GB2312"/>
                <w:sz w:val="24"/>
                <w:b/>
                <w:color w:val="000000"/>
              </w:rPr>
              <w:t>一、服务期限：</w:t>
            </w:r>
          </w:p>
          <w:p>
            <w:pPr>
              <w:pStyle w:val="null3"/>
              <w:spacing w:before="120" w:after="120"/>
              <w:jc w:val="both"/>
              <w:outlineLvl w:val="2"/>
            </w:pPr>
            <w:r>
              <w:rPr>
                <w:rFonts w:ascii="仿宋_GB2312" w:hAnsi="仿宋_GB2312" w:cs="仿宋_GB2312" w:eastAsia="仿宋_GB2312"/>
                <w:sz w:val="24"/>
                <w:b/>
                <w:color w:val="000000"/>
              </w:rPr>
              <w:t>自合同签订之日起</w:t>
            </w:r>
            <w:r>
              <w:rPr>
                <w:rFonts w:ascii="仿宋_GB2312" w:hAnsi="仿宋_GB2312" w:cs="仿宋_GB2312" w:eastAsia="仿宋_GB2312"/>
                <w:sz w:val="24"/>
                <w:b/>
                <w:color w:val="000000"/>
              </w:rPr>
              <w:t>18个月。</w:t>
            </w:r>
          </w:p>
          <w:p>
            <w:pPr>
              <w:pStyle w:val="null3"/>
              <w:spacing w:before="120" w:after="120"/>
              <w:jc w:val="both"/>
              <w:outlineLvl w:val="2"/>
            </w:pPr>
            <w:r>
              <w:rPr>
                <w:rFonts w:ascii="仿宋_GB2312" w:hAnsi="仿宋_GB2312" w:cs="仿宋_GB2312" w:eastAsia="仿宋_GB2312"/>
                <w:sz w:val="24"/>
                <w:b/>
                <w:color w:val="000000"/>
              </w:rPr>
              <w:t>二、质保期：</w:t>
            </w:r>
          </w:p>
          <w:p>
            <w:pPr>
              <w:pStyle w:val="null3"/>
              <w:spacing w:before="120" w:after="120"/>
              <w:jc w:val="both"/>
              <w:outlineLvl w:val="2"/>
            </w:pPr>
            <w:r>
              <w:rPr>
                <w:rFonts w:ascii="仿宋_GB2312" w:hAnsi="仿宋_GB2312" w:cs="仿宋_GB2312" w:eastAsia="仿宋_GB2312"/>
                <w:sz w:val="24"/>
                <w:b/>
                <w:color w:val="000000"/>
              </w:rPr>
              <w:t>供应商为本项目所投软件和硬件设备提供</w:t>
            </w:r>
            <w:r>
              <w:rPr>
                <w:rFonts w:ascii="仿宋_GB2312" w:hAnsi="仿宋_GB2312" w:cs="仿宋_GB2312" w:eastAsia="仿宋_GB2312"/>
                <w:sz w:val="24"/>
                <w:b/>
                <w:color w:val="000000"/>
              </w:rPr>
              <w:t>1年质保。</w:t>
            </w:r>
          </w:p>
          <w:p>
            <w:pPr>
              <w:pStyle w:val="null3"/>
              <w:spacing w:before="120" w:after="120"/>
              <w:jc w:val="both"/>
              <w:outlineLvl w:val="2"/>
            </w:pPr>
            <w:r>
              <w:rPr>
                <w:rFonts w:ascii="仿宋_GB2312" w:hAnsi="仿宋_GB2312" w:cs="仿宋_GB2312" w:eastAsia="仿宋_GB2312"/>
                <w:sz w:val="24"/>
                <w:b/>
                <w:color w:val="000000"/>
              </w:rPr>
              <w:t>三、采购需求</w:t>
            </w:r>
          </w:p>
          <w:p>
            <w:pPr>
              <w:pStyle w:val="null3"/>
              <w:spacing w:before="120" w:after="120"/>
              <w:jc w:val="center"/>
              <w:outlineLvl w:val="2"/>
            </w:pP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软件部分</w:t>
            </w:r>
          </w:p>
          <w:p>
            <w:pPr>
              <w:pStyle w:val="null3"/>
              <w:ind w:firstLine="600"/>
              <w:jc w:val="both"/>
            </w:pPr>
            <w:r>
              <w:rPr>
                <w:rFonts w:ascii="仿宋_GB2312" w:hAnsi="仿宋_GB2312" w:cs="仿宋_GB2312" w:eastAsia="仿宋_GB2312"/>
                <w:sz w:val="24"/>
                <w:color w:val="000000"/>
              </w:rPr>
              <w:t>依据</w:t>
            </w:r>
            <w:r>
              <w:rPr>
                <w:rFonts w:ascii="仿宋_GB2312" w:hAnsi="仿宋_GB2312" w:cs="仿宋_GB2312" w:eastAsia="仿宋_GB2312"/>
                <w:sz w:val="24"/>
                <w:color w:val="000000"/>
              </w:rPr>
              <w:t>《</w:t>
            </w:r>
            <w:r>
              <w:rPr>
                <w:rFonts w:ascii="仿宋_GB2312" w:hAnsi="仿宋_GB2312" w:cs="仿宋_GB2312" w:eastAsia="仿宋_GB2312"/>
                <w:sz w:val="24"/>
                <w:color w:val="000000"/>
              </w:rPr>
              <w:t>陕西省重点用车企业环保门禁</w:t>
            </w:r>
            <w:r>
              <w:rPr>
                <w:rFonts w:ascii="仿宋_GB2312" w:hAnsi="仿宋_GB2312" w:cs="仿宋_GB2312" w:eastAsia="仿宋_GB2312"/>
                <w:sz w:val="24"/>
                <w:color w:val="000000"/>
              </w:rPr>
              <w:t>及视频</w:t>
            </w:r>
            <w:r>
              <w:rPr>
                <w:rFonts w:ascii="仿宋_GB2312" w:hAnsi="仿宋_GB2312" w:cs="仿宋_GB2312" w:eastAsia="仿宋_GB2312"/>
                <w:sz w:val="24"/>
                <w:color w:val="000000"/>
              </w:rPr>
              <w:t>监控系统建设技术指南</w:t>
            </w:r>
            <w:r>
              <w:rPr>
                <w:rFonts w:ascii="仿宋_GB2312" w:hAnsi="仿宋_GB2312" w:cs="仿宋_GB2312" w:eastAsia="仿宋_GB2312"/>
                <w:sz w:val="24"/>
                <w:color w:val="000000"/>
              </w:rPr>
              <w:t>（</w:t>
            </w:r>
            <w:r>
              <w:rPr>
                <w:rFonts w:ascii="仿宋_GB2312" w:hAnsi="仿宋_GB2312" w:cs="仿宋_GB2312" w:eastAsia="仿宋_GB2312"/>
                <w:sz w:val="24"/>
                <w:color w:val="000000"/>
              </w:rPr>
              <w:t>试行</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建设一套市级监管平台，平台具有监测驾驶舱、</w:t>
            </w:r>
            <w:r>
              <w:rPr>
                <w:rFonts w:ascii="仿宋_GB2312" w:hAnsi="仿宋_GB2312" w:cs="仿宋_GB2312" w:eastAsia="仿宋_GB2312"/>
                <w:sz w:val="24"/>
                <w:color w:val="000000"/>
              </w:rPr>
              <w:t>信息管理、应急管控、统计分析等</w:t>
            </w:r>
            <w:r>
              <w:rPr>
                <w:rFonts w:ascii="仿宋_GB2312" w:hAnsi="仿宋_GB2312" w:cs="仿宋_GB2312" w:eastAsia="仿宋_GB2312"/>
                <w:sz w:val="24"/>
                <w:color w:val="000000"/>
              </w:rPr>
              <w:t>业务模块</w:t>
            </w:r>
            <w:r>
              <w:rPr>
                <w:rFonts w:ascii="仿宋_GB2312" w:hAnsi="仿宋_GB2312" w:cs="仿宋_GB2312" w:eastAsia="仿宋_GB2312"/>
                <w:sz w:val="24"/>
                <w:color w:val="000000"/>
              </w:rPr>
              <w:t>，</w:t>
            </w:r>
            <w:r>
              <w:rPr>
                <w:rFonts w:ascii="仿宋_GB2312" w:hAnsi="仿宋_GB2312" w:cs="仿宋_GB2312" w:eastAsia="仿宋_GB2312"/>
                <w:sz w:val="24"/>
                <w:color w:val="000000"/>
              </w:rPr>
              <w:t>为</w:t>
            </w:r>
            <w:r>
              <w:rPr>
                <w:rFonts w:ascii="仿宋_GB2312" w:hAnsi="仿宋_GB2312" w:cs="仿宋_GB2312" w:eastAsia="仿宋_GB2312"/>
                <w:sz w:val="24"/>
                <w:color w:val="000000"/>
              </w:rPr>
              <w:t>监管部门</w:t>
            </w:r>
            <w:r>
              <w:rPr>
                <w:rFonts w:ascii="仿宋_GB2312" w:hAnsi="仿宋_GB2312" w:cs="仿宋_GB2312" w:eastAsia="仿宋_GB2312"/>
                <w:sz w:val="24"/>
                <w:color w:val="000000"/>
              </w:rPr>
              <w:t>的重点用车管理提供强有力的</w:t>
            </w:r>
            <w:r>
              <w:rPr>
                <w:rFonts w:ascii="仿宋_GB2312" w:hAnsi="仿宋_GB2312" w:cs="仿宋_GB2312" w:eastAsia="仿宋_GB2312"/>
                <w:sz w:val="24"/>
                <w:color w:val="000000"/>
              </w:rPr>
              <w:t>技术</w:t>
            </w:r>
            <w:r>
              <w:rPr>
                <w:rFonts w:ascii="仿宋_GB2312" w:hAnsi="仿宋_GB2312" w:cs="仿宋_GB2312" w:eastAsia="仿宋_GB2312"/>
                <w:sz w:val="24"/>
                <w:color w:val="000000"/>
              </w:rPr>
              <w:t>支撑和决策依据，为重污染天气</w:t>
            </w:r>
            <w:r>
              <w:rPr>
                <w:rFonts w:ascii="仿宋_GB2312" w:hAnsi="仿宋_GB2312" w:cs="仿宋_GB2312" w:eastAsia="仿宋_GB2312"/>
                <w:sz w:val="24"/>
                <w:color w:val="000000"/>
              </w:rPr>
              <w:t>移动源管控提供</w:t>
            </w:r>
            <w:r>
              <w:rPr>
                <w:rFonts w:ascii="仿宋_GB2312" w:hAnsi="仿宋_GB2312" w:cs="仿宋_GB2312" w:eastAsia="仿宋_GB2312"/>
                <w:sz w:val="24"/>
                <w:color w:val="000000"/>
              </w:rPr>
              <w:t>有力管控抓手。</w:t>
            </w:r>
            <w:r>
              <w:rPr>
                <w:rFonts w:ascii="仿宋_GB2312" w:hAnsi="仿宋_GB2312" w:cs="仿宋_GB2312" w:eastAsia="仿宋_GB2312"/>
                <w:sz w:val="24"/>
                <w:color w:val="000000"/>
              </w:rPr>
              <w:t>（</w:t>
            </w:r>
            <w:r>
              <w:rPr>
                <w:rFonts w:ascii="仿宋_GB2312" w:hAnsi="仿宋_GB2312" w:cs="仿宋_GB2312" w:eastAsia="仿宋_GB2312"/>
                <w:sz w:val="24"/>
                <w:color w:val="000000"/>
              </w:rPr>
              <w:t>详见表</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p>
          <w:p>
            <w:pPr>
              <w:pStyle w:val="null3"/>
              <w:spacing w:before="120" w:after="120"/>
              <w:jc w:val="center"/>
              <w:outlineLvl w:val="2"/>
            </w:pP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硬件部分</w:t>
            </w:r>
          </w:p>
          <w:p>
            <w:pPr>
              <w:pStyle w:val="null3"/>
              <w:ind w:firstLine="600"/>
              <w:jc w:val="both"/>
            </w:pPr>
            <w:r>
              <w:rPr>
                <w:rFonts w:ascii="仿宋_GB2312" w:hAnsi="仿宋_GB2312" w:cs="仿宋_GB2312" w:eastAsia="仿宋_GB2312"/>
                <w:sz w:val="24"/>
                <w:color w:val="000000"/>
              </w:rPr>
              <w:t>本次项目将依照《陕西省重点用车企业环保门禁及视频监控系统建设技术指南</w:t>
            </w:r>
            <w:r>
              <w:rPr>
                <w:rFonts w:ascii="仿宋_GB2312" w:hAnsi="仿宋_GB2312" w:cs="仿宋_GB2312" w:eastAsia="仿宋_GB2312"/>
                <w:sz w:val="24"/>
                <w:color w:val="000000"/>
              </w:rPr>
              <w:t>（试行）</w:t>
            </w:r>
            <w:r>
              <w:rPr>
                <w:rFonts w:ascii="仿宋_GB2312" w:hAnsi="仿宋_GB2312" w:cs="仿宋_GB2312" w:eastAsia="仿宋_GB2312"/>
                <w:sz w:val="24"/>
                <w:color w:val="000000"/>
              </w:rPr>
              <w:t>》文件要求，通过在汉中市生态环境局</w:t>
            </w:r>
            <w:r>
              <w:rPr>
                <w:rFonts w:ascii="仿宋_GB2312" w:hAnsi="仿宋_GB2312" w:cs="仿宋_GB2312" w:eastAsia="仿宋_GB2312"/>
                <w:sz w:val="24"/>
                <w:color w:val="000000"/>
              </w:rPr>
              <w:t>生态环境专网数据</w:t>
            </w:r>
            <w:r>
              <w:rPr>
                <w:rFonts w:ascii="仿宋_GB2312" w:hAnsi="仿宋_GB2312" w:cs="仿宋_GB2312" w:eastAsia="仿宋_GB2312"/>
                <w:sz w:val="24"/>
              </w:rPr>
              <w:t>资源池</w:t>
            </w:r>
            <w:r>
              <w:rPr>
                <w:rFonts w:ascii="仿宋_GB2312" w:hAnsi="仿宋_GB2312" w:cs="仿宋_GB2312" w:eastAsia="仿宋_GB2312"/>
                <w:sz w:val="24"/>
              </w:rPr>
              <w:t>基础上增设相关硬件设备，其中包括超融合服务器</w:t>
            </w:r>
            <w:r>
              <w:rPr>
                <w:rFonts w:ascii="仿宋_GB2312" w:hAnsi="仿宋_GB2312" w:cs="仿宋_GB2312" w:eastAsia="仿宋_GB2312"/>
                <w:sz w:val="24"/>
              </w:rPr>
              <w:t>1</w:t>
            </w:r>
            <w:r>
              <w:rPr>
                <w:rFonts w:ascii="仿宋_GB2312" w:hAnsi="仿宋_GB2312" w:cs="仿宋_GB2312" w:eastAsia="仿宋_GB2312"/>
                <w:sz w:val="24"/>
              </w:rPr>
              <w:t>台、</w:t>
            </w:r>
            <w:r>
              <w:rPr>
                <w:rFonts w:ascii="仿宋_GB2312" w:hAnsi="仿宋_GB2312" w:cs="仿宋_GB2312" w:eastAsia="仿宋_GB2312"/>
                <w:sz w:val="24"/>
              </w:rPr>
              <w:t>存储交换机</w:t>
            </w:r>
            <w:r>
              <w:rPr>
                <w:rFonts w:ascii="仿宋_GB2312" w:hAnsi="仿宋_GB2312" w:cs="仿宋_GB2312" w:eastAsia="仿宋_GB2312"/>
                <w:sz w:val="24"/>
              </w:rPr>
              <w:t>2</w:t>
            </w:r>
            <w:r>
              <w:rPr>
                <w:rFonts w:ascii="仿宋_GB2312" w:hAnsi="仿宋_GB2312" w:cs="仿宋_GB2312" w:eastAsia="仿宋_GB2312"/>
                <w:sz w:val="24"/>
              </w:rPr>
              <w:t>台、</w:t>
            </w:r>
            <w:r>
              <w:rPr>
                <w:rFonts w:ascii="仿宋_GB2312" w:hAnsi="仿宋_GB2312" w:cs="仿宋_GB2312" w:eastAsia="仿宋_GB2312"/>
                <w:sz w:val="24"/>
              </w:rPr>
              <w:t>防火墙</w:t>
            </w:r>
            <w:r>
              <w:rPr>
                <w:rFonts w:ascii="仿宋_GB2312" w:hAnsi="仿宋_GB2312" w:cs="仿宋_GB2312" w:eastAsia="仿宋_GB2312"/>
                <w:sz w:val="24"/>
              </w:rPr>
              <w:t>2</w:t>
            </w:r>
            <w:r>
              <w:rPr>
                <w:rFonts w:ascii="仿宋_GB2312" w:hAnsi="仿宋_GB2312" w:cs="仿宋_GB2312" w:eastAsia="仿宋_GB2312"/>
                <w:sz w:val="24"/>
              </w:rPr>
              <w:t>套、交换机</w:t>
            </w:r>
            <w:r>
              <w:rPr>
                <w:rFonts w:ascii="仿宋_GB2312" w:hAnsi="仿宋_GB2312" w:cs="仿宋_GB2312" w:eastAsia="仿宋_GB2312"/>
                <w:sz w:val="24"/>
              </w:rPr>
              <w:t>2</w:t>
            </w:r>
            <w:r>
              <w:rPr>
                <w:rFonts w:ascii="仿宋_GB2312" w:hAnsi="仿宋_GB2312" w:cs="仿宋_GB2312" w:eastAsia="仿宋_GB2312"/>
                <w:sz w:val="24"/>
              </w:rPr>
              <w:t>台，保</w:t>
            </w:r>
            <w:r>
              <w:rPr>
                <w:rFonts w:ascii="仿宋_GB2312" w:hAnsi="仿宋_GB2312" w:cs="仿宋_GB2312" w:eastAsia="仿宋_GB2312"/>
                <w:sz w:val="24"/>
                <w:color w:val="000000"/>
              </w:rPr>
              <w:t>障相关</w:t>
            </w:r>
            <w:r>
              <w:rPr>
                <w:rFonts w:ascii="仿宋_GB2312" w:hAnsi="仿宋_GB2312" w:cs="仿宋_GB2312" w:eastAsia="仿宋_GB2312"/>
                <w:sz w:val="24"/>
                <w:color w:val="000000"/>
              </w:rPr>
              <w:t>网络安全和数据安全</w:t>
            </w:r>
            <w:r>
              <w:rPr>
                <w:rFonts w:ascii="仿宋_GB2312" w:hAnsi="仿宋_GB2312" w:cs="仿宋_GB2312" w:eastAsia="仿宋_GB2312"/>
                <w:sz w:val="24"/>
                <w:color w:val="000000"/>
              </w:rPr>
              <w:t>应用需求</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详见表</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p>
          <w:p>
            <w:pPr>
              <w:pStyle w:val="null3"/>
              <w:ind w:firstLine="600"/>
              <w:jc w:val="both"/>
            </w:pPr>
            <w:r>
              <w:rPr>
                <w:rFonts w:ascii="仿宋_GB2312" w:hAnsi="仿宋_GB2312" w:cs="仿宋_GB2312" w:eastAsia="仿宋_GB2312"/>
                <w:sz w:val="28"/>
                <w:b/>
                <w:color w:val="000000"/>
              </w:rPr>
              <w:t>表</w:t>
            </w:r>
            <w:r>
              <w:rPr>
                <w:rFonts w:ascii="仿宋_GB2312" w:hAnsi="仿宋_GB2312" w:cs="仿宋_GB2312" w:eastAsia="仿宋_GB2312"/>
                <w:sz w:val="28"/>
                <w:b/>
                <w:color w:val="000000"/>
              </w:rPr>
              <w:t>1</w:t>
            </w:r>
            <w:r>
              <w:rPr>
                <w:rFonts w:ascii="仿宋_GB2312" w:hAnsi="仿宋_GB2312" w:cs="仿宋_GB2312" w:eastAsia="仿宋_GB2312"/>
                <w:sz w:val="28"/>
                <w:b/>
                <w:color w:val="000000"/>
              </w:rPr>
              <w:t xml:space="preserve"> </w:t>
            </w:r>
            <w:r>
              <w:rPr>
                <w:rFonts w:ascii="仿宋_GB2312" w:hAnsi="仿宋_GB2312" w:cs="仿宋_GB2312" w:eastAsia="仿宋_GB2312"/>
                <w:sz w:val="28"/>
                <w:b/>
                <w:color w:val="000000"/>
              </w:rPr>
              <w:t>软件采购需求</w:t>
            </w:r>
          </w:p>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8"/>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851"/>
                  <w:tcBorders>
                    <w:top w:val="single" w:color="000000" w:sz="8"/>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功能</w:t>
                  </w:r>
                </w:p>
              </w:tc>
              <w:tc>
                <w:tcPr>
                  <w:tcW w:type="dxa" w:w="851"/>
                  <w:tcBorders>
                    <w:top w:val="single" w:color="000000" w:sz="8"/>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功能描述</w:t>
                  </w:r>
                </w:p>
              </w:tc>
            </w:tr>
            <w:tr>
              <w:tc>
                <w:tcPr>
                  <w:tcW w:type="dxa" w:w="851"/>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8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基本信息管理功能</w:t>
                  </w:r>
                </w:p>
              </w:tc>
              <w:tc>
                <w:tcPr>
                  <w:tcW w:type="dxa" w:w="851"/>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应具备对重点用车企业基本信息管理、重点用车企业编号管理功能。</w:t>
                  </w:r>
                </w:p>
              </w:tc>
            </w:tr>
            <w:tr>
              <w:tc>
                <w:tcPr>
                  <w:tcW w:type="dxa" w:w="851"/>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8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车辆信息校验管理功能</w:t>
                  </w:r>
                </w:p>
              </w:tc>
              <w:tc>
                <w:tcPr>
                  <w:tcW w:type="dxa" w:w="851"/>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应具备对重点用车企业系统上报数据完整性进行校验，对准确性和真实性进行抽查的功能，校验、抽查的内容主要包括车辆信息、车辆是否属于异常车辆等关键内容。</w:t>
                  </w:r>
                  <w:r>
                    <w:br/>
                  </w:r>
                  <w:r>
                    <w:rPr>
                      <w:rFonts w:ascii="仿宋_GB2312" w:hAnsi="仿宋_GB2312" w:cs="仿宋_GB2312" w:eastAsia="仿宋_GB2312"/>
                      <w:sz w:val="22"/>
                      <w:color w:val="000000"/>
                    </w:rPr>
                    <w:t>信息校验应预留与省级信息平台对接接口，获取省级信息平台车辆信</w:t>
                  </w:r>
                  <w:r>
                    <w:rPr>
                      <w:rFonts w:ascii="仿宋_GB2312" w:hAnsi="仿宋_GB2312" w:cs="仿宋_GB2312" w:eastAsia="仿宋_GB2312"/>
                      <w:sz w:val="22"/>
                      <w:color w:val="000000"/>
                    </w:rPr>
                    <w:t>息，通过省级下发的信息、共享数据，市级平台校验后形成疑似问题车辆名单，实时下发给重点用车</w:t>
                  </w:r>
                  <w:r>
                    <w:rPr>
                      <w:rFonts w:ascii="仿宋_GB2312" w:hAnsi="仿宋_GB2312" w:cs="仿宋_GB2312" w:eastAsia="仿宋_GB2312"/>
                      <w:sz w:val="22"/>
                      <w:color w:val="000000"/>
                    </w:rPr>
                    <w:t>企业系统。</w:t>
                  </w:r>
                </w:p>
              </w:tc>
            </w:tr>
            <w:tr>
              <w:tc>
                <w:tcPr>
                  <w:tcW w:type="dxa" w:w="851"/>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8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管控策略审核下发功能</w:t>
                  </w:r>
                </w:p>
              </w:tc>
              <w:tc>
                <w:tcPr>
                  <w:tcW w:type="dxa" w:w="851"/>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应具备对重点用车企业系统上报的管控措施审核功能，对未通过审核的管控措施，退回重点用车企业系统。</w:t>
                  </w:r>
                  <w:r>
                    <w:br/>
                  </w:r>
                  <w:r>
                    <w:rPr>
                      <w:rFonts w:ascii="仿宋_GB2312" w:hAnsi="仿宋_GB2312" w:cs="仿宋_GB2312" w:eastAsia="仿宋_GB2312"/>
                      <w:sz w:val="22"/>
                      <w:color w:val="000000"/>
                    </w:rPr>
                    <w:t>应具备向重点用车企业系统下发重污染天气移动源管控策略的功能，监管平台应支持按地区、按行业类型批量导入、手动修改等便利的管控策略输入方式。</w:t>
                  </w:r>
                </w:p>
              </w:tc>
            </w:tr>
            <w:tr>
              <w:tc>
                <w:tcPr>
                  <w:tcW w:type="dxa" w:w="851"/>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8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异常车辆管理功能</w:t>
                  </w:r>
                </w:p>
              </w:tc>
              <w:tc>
                <w:tcPr>
                  <w:tcW w:type="dxa" w:w="851"/>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应具备接收省级监管平台下发的异常车辆名单功能，并向重点用车企业系统下发的功能。</w:t>
                  </w:r>
                </w:p>
              </w:tc>
            </w:tr>
            <w:tr>
              <w:tc>
                <w:tcPr>
                  <w:tcW w:type="dxa" w:w="851"/>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8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数据存储、统计汇总功能</w:t>
                  </w:r>
                </w:p>
              </w:tc>
              <w:tc>
                <w:tcPr>
                  <w:tcW w:type="dxa" w:w="851"/>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应具备对重点用车企业上报的关键数据（如企业车辆相关信息、违规照片）存储和统计汇总的功能，便于实时监控。</w:t>
                  </w:r>
                </w:p>
              </w:tc>
            </w:tr>
            <w:tr>
              <w:tc>
                <w:tcPr>
                  <w:tcW w:type="dxa" w:w="851"/>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8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数据查询功能</w:t>
                  </w:r>
                </w:p>
              </w:tc>
              <w:tc>
                <w:tcPr>
                  <w:tcW w:type="dxa" w:w="851"/>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监管平台应具备对重点用车企业上报数据按行业类型、企业、时间、排放标准、燃料类型、管控策略、县（区、市）等多条件组合查询的功能。</w:t>
                  </w:r>
                </w:p>
              </w:tc>
            </w:tr>
            <w:tr>
              <w:tc>
                <w:tcPr>
                  <w:tcW w:type="dxa" w:w="851"/>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8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报警管理功能</w:t>
                  </w:r>
                </w:p>
              </w:tc>
              <w:tc>
                <w:tcPr>
                  <w:tcW w:type="dxa" w:w="851"/>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应具备对违反管控策略车辆等信息可通过</w:t>
                  </w:r>
                  <w:r>
                    <w:rPr>
                      <w:rFonts w:ascii="仿宋_GB2312" w:hAnsi="仿宋_GB2312" w:cs="仿宋_GB2312" w:eastAsia="仿宋_GB2312"/>
                      <w:sz w:val="22"/>
                      <w:color w:val="000000"/>
                    </w:rPr>
                    <w:t>VPN通道实现短信方式推送报警信息，并自动保存车辆违规出入记录、抓拍图片等相关信息，作为违规问题的溯源档案，支撑执法监管。应具备企业端环保门禁及视频监控系统运行维护异常、网络中断等的识别和报警功能。</w:t>
                  </w:r>
                </w:p>
              </w:tc>
            </w:tr>
            <w:tr>
              <w:tc>
                <w:tcPr>
                  <w:tcW w:type="dxa" w:w="851"/>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8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疑似问题车辆管理功能</w:t>
                  </w:r>
                </w:p>
              </w:tc>
              <w:tc>
                <w:tcPr>
                  <w:tcW w:type="dxa" w:w="851"/>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应具备将疑似问题车辆名单更新管理、实时下发的功能。</w:t>
                  </w:r>
                </w:p>
              </w:tc>
            </w:tr>
            <w:tr>
              <w:tc>
                <w:tcPr>
                  <w:tcW w:type="dxa" w:w="851"/>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8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数据上报功能</w:t>
                  </w:r>
                </w:p>
              </w:tc>
              <w:tc>
                <w:tcPr>
                  <w:tcW w:type="dxa" w:w="851"/>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应具备数据传输率（接受量</w:t>
                  </w:r>
                  <w:r>
                    <w:rPr>
                      <w:rFonts w:ascii="仿宋_GB2312" w:hAnsi="仿宋_GB2312" w:cs="仿宋_GB2312" w:eastAsia="仿宋_GB2312"/>
                      <w:sz w:val="22"/>
                      <w:color w:val="000000"/>
                    </w:rPr>
                    <w:t>/上报量）实时统计的功能，形成日报。数据传输率统计信息应在监管系统管理页面中实时呈现。应预留与省级信息平台对接接口，按照省级信息平台的要求将数据上报给省级信息平台。</w:t>
                  </w:r>
                </w:p>
              </w:tc>
            </w:tr>
            <w:tr>
              <w:tc>
                <w:tcPr>
                  <w:tcW w:type="dxa" w:w="851"/>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8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响应评估功能</w:t>
                  </w:r>
                </w:p>
              </w:tc>
              <w:tc>
                <w:tcPr>
                  <w:tcW w:type="dxa" w:w="851"/>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应具备按照属地、行业类型、管控策略、企业等多条件组合统计日常运输情况（包括不同排放标准、燃料类型、进出车辆数、运输货物量等）、预警响应期间实际运输情况等内容的功能，并形成移动源减排措施评估报告。</w:t>
                  </w:r>
                </w:p>
              </w:tc>
            </w:tr>
            <w:tr>
              <w:tc>
                <w:tcPr>
                  <w:tcW w:type="dxa" w:w="851"/>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8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车辆信息库</w:t>
                  </w:r>
                </w:p>
              </w:tc>
              <w:tc>
                <w:tcPr>
                  <w:tcW w:type="dxa" w:w="851"/>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具备对重点用车企业系统上报的进出厂车辆、场内运输车辆、非道路移动机械车辆数据进行管理、查询与储存的功能。</w:t>
                  </w:r>
                </w:p>
              </w:tc>
            </w:tr>
            <w:tr>
              <w:tc>
                <w:tcPr>
                  <w:tcW w:type="dxa" w:w="851"/>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8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实时视频监控与回放功能</w:t>
                  </w:r>
                </w:p>
              </w:tc>
              <w:tc>
                <w:tcPr>
                  <w:tcW w:type="dxa" w:w="851"/>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具备对重点用车企业的实时视频地址及历史视频回放进行查看和调阅的功能，通过市级监管平台记录企业上报视频地址、历史回放地址、市级监管平台存储的违规照片可作为违规问题的溯源档案，支撑执法监管。</w:t>
                  </w:r>
                </w:p>
              </w:tc>
            </w:tr>
            <w:tr>
              <w:tc>
                <w:tcPr>
                  <w:tcW w:type="dxa" w:w="851"/>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8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运维申请审核</w:t>
                  </w:r>
                </w:p>
              </w:tc>
              <w:tc>
                <w:tcPr>
                  <w:tcW w:type="dxa" w:w="851"/>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具备对重点用车企业上报的运维申请进行审核的功能。</w:t>
                  </w:r>
                </w:p>
              </w:tc>
            </w:tr>
            <w:tr>
              <w:tc>
                <w:tcPr>
                  <w:tcW w:type="dxa" w:w="851"/>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8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区县级应用及权限管理</w:t>
                  </w:r>
                </w:p>
              </w:tc>
              <w:tc>
                <w:tcPr>
                  <w:tcW w:type="dxa" w:w="851"/>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具备开设区县级权限账号功能，通过区县菜单，获取各区县的数据，同时记录</w:t>
                  </w:r>
                </w:p>
                <w:p>
                  <w:pPr>
                    <w:pStyle w:val="null3"/>
                    <w:jc w:val="left"/>
                  </w:pPr>
                  <w:r>
                    <w:rPr>
                      <w:rFonts w:ascii="仿宋_GB2312" w:hAnsi="仿宋_GB2312" w:cs="仿宋_GB2312" w:eastAsia="仿宋_GB2312"/>
                      <w:sz w:val="22"/>
                      <w:color w:val="000000"/>
                    </w:rPr>
                    <w:t>区县级应用及权限管理账号的操作日志及登录日志。便于区县级人员对辖区内重点用车企业进行管理。</w:t>
                  </w:r>
                </w:p>
              </w:tc>
            </w:tr>
            <w:tr>
              <w:tc>
                <w:tcPr>
                  <w:tcW w:type="dxa" w:w="851"/>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8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企业端数据传输接口</w:t>
                  </w:r>
                </w:p>
              </w:tc>
              <w:tc>
                <w:tcPr>
                  <w:tcW w:type="dxa" w:w="851"/>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平台应按照《陕西省重点用车企业环保门禁及视频监控系统建设技术指南（试行）》预留接口，支持企业环保门禁及视频监控系统数据传输至市级生态环境主管部门的监管平台。</w:t>
                  </w:r>
                </w:p>
              </w:tc>
            </w:tr>
            <w:tr>
              <w:tc>
                <w:tcPr>
                  <w:tcW w:type="dxa" w:w="851"/>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8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软件测试报告</w:t>
                  </w:r>
                </w:p>
              </w:tc>
              <w:tc>
                <w:tcPr>
                  <w:tcW w:type="dxa" w:w="851"/>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软件测评</w:t>
                  </w:r>
                </w:p>
              </w:tc>
            </w:tr>
            <w:tr>
              <w:tc>
                <w:tcPr>
                  <w:tcW w:type="dxa" w:w="851"/>
                  <w:tcBorders>
                    <w:top w:val="none" w:color="000000" w:sz="4"/>
                    <w:left w:val="single" w:color="000000" w:sz="8"/>
                    <w:bottom w:val="single" w:color="000000" w:sz="8"/>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851"/>
                  <w:tcBorders>
                    <w:top w:val="none" w:color="000000" w:sz="4"/>
                    <w:left w:val="none" w:color="000000" w:sz="4"/>
                    <w:bottom w:val="single" w:color="000000" w:sz="8"/>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系统运维</w:t>
                  </w:r>
                </w:p>
              </w:tc>
              <w:tc>
                <w:tcPr>
                  <w:tcW w:type="dxa" w:w="851"/>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不低于一年软件免费运维</w:t>
                  </w:r>
                </w:p>
              </w:tc>
            </w:tr>
          </w:tbl>
          <w:p>
            <w:pPr>
              <w:pStyle w:val="null3"/>
              <w:jc w:val="center"/>
            </w:pPr>
            <w:r>
              <w:rPr>
                <w:rFonts w:ascii="仿宋_GB2312" w:hAnsi="仿宋_GB2312" w:cs="仿宋_GB2312" w:eastAsia="仿宋_GB2312"/>
                <w:sz w:val="28"/>
                <w:b/>
                <w:color w:val="000000"/>
              </w:rPr>
              <w:t>表</w:t>
            </w:r>
            <w:r>
              <w:rPr>
                <w:rFonts w:ascii="仿宋_GB2312" w:hAnsi="仿宋_GB2312" w:cs="仿宋_GB2312" w:eastAsia="仿宋_GB2312"/>
                <w:sz w:val="28"/>
                <w:b/>
                <w:color w:val="000000"/>
              </w:rPr>
              <w:t>2</w:t>
            </w:r>
            <w:r>
              <w:rPr>
                <w:rFonts w:ascii="仿宋_GB2312" w:hAnsi="仿宋_GB2312" w:cs="仿宋_GB2312" w:eastAsia="仿宋_GB2312"/>
                <w:sz w:val="28"/>
                <w:b/>
                <w:color w:val="000000"/>
              </w:rPr>
              <w:t xml:space="preserve"> </w:t>
            </w:r>
            <w:r>
              <w:rPr>
                <w:rFonts w:ascii="仿宋_GB2312" w:hAnsi="仿宋_GB2312" w:cs="仿宋_GB2312" w:eastAsia="仿宋_GB2312"/>
                <w:sz w:val="28"/>
                <w:b/>
                <w:color w:val="000000"/>
              </w:rPr>
              <w:t>硬件采购需求</w:t>
            </w:r>
          </w:p>
          <w:tbl>
            <w:tblPr>
              <w:tblBorders>
                <w:top w:val="none" w:color="000000" w:sz="4"/>
                <w:left w:val="none" w:color="000000" w:sz="4"/>
                <w:bottom w:val="none" w:color="000000" w:sz="4"/>
                <w:right w:val="none" w:color="000000" w:sz="4"/>
                <w:insideH w:val="none"/>
                <w:insideV w:val="none"/>
              </w:tblBorders>
            </w:tblPr>
            <w:tblGrid>
              <w:gridCol w:w="155"/>
              <w:gridCol w:w="342"/>
              <w:gridCol w:w="1798"/>
              <w:gridCol w:w="258"/>
            </w:tblGrid>
            <w:tr>
              <w:tc>
                <w:tcPr>
                  <w:tcW w:type="dxa" w:w="155"/>
                  <w:vMerge w:val="restart"/>
                  <w:tcBorders>
                    <w:top w:val="single" w:color="000000" w:sz="8"/>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342"/>
                  <w:vMerge w:val="restart"/>
                  <w:tcBorders>
                    <w:top w:val="single" w:color="000000" w:sz="8"/>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名称</w:t>
                  </w:r>
                </w:p>
              </w:tc>
              <w:tc>
                <w:tcPr>
                  <w:tcW w:type="dxa" w:w="1798"/>
                  <w:vMerge w:val="restart"/>
                  <w:tcBorders>
                    <w:top w:val="single" w:color="000000" w:sz="8"/>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描述</w:t>
                  </w:r>
                </w:p>
              </w:tc>
              <w:tc>
                <w:tcPr>
                  <w:tcW w:type="dxa" w:w="258"/>
                  <w:vMerge w:val="restart"/>
                  <w:tcBorders>
                    <w:top w:val="single" w:color="000000" w:sz="8"/>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r>
            <w:tr>
              <w:tc>
                <w:tcPr>
                  <w:tcW w:type="dxa" w:w="155"/>
                  <w:vMerge/>
                  <w:tcBorders>
                    <w:top w:val="single" w:color="000000" w:sz="8"/>
                    <w:left w:val="single" w:color="000000" w:sz="8"/>
                    <w:bottom w:val="single" w:color="000000" w:sz="4"/>
                    <w:right w:val="single" w:color="000000" w:sz="4"/>
                  </w:tcBorders>
                </w:tcPr>
                <w:p/>
              </w:tc>
              <w:tc>
                <w:tcPr>
                  <w:tcW w:type="dxa" w:w="342"/>
                  <w:vMerge/>
                  <w:tcBorders>
                    <w:top w:val="single" w:color="000000" w:sz="8"/>
                    <w:left w:val="none" w:color="000000" w:sz="4"/>
                    <w:bottom w:val="single" w:color="000000" w:sz="4"/>
                    <w:right w:val="single" w:color="000000" w:sz="4"/>
                  </w:tcBorders>
                </w:tcPr>
                <w:p/>
              </w:tc>
              <w:tc>
                <w:tcPr>
                  <w:tcW w:type="dxa" w:w="1798"/>
                  <w:vMerge/>
                  <w:tcBorders>
                    <w:top w:val="single" w:color="000000" w:sz="8"/>
                    <w:left w:val="none" w:color="000000" w:sz="4"/>
                    <w:bottom w:val="single" w:color="000000" w:sz="4"/>
                    <w:right w:val="single" w:color="000000" w:sz="4"/>
                  </w:tcBorders>
                </w:tcPr>
                <w:p/>
              </w:tc>
              <w:tc>
                <w:tcPr>
                  <w:tcW w:type="dxa" w:w="258"/>
                  <w:vMerge/>
                  <w:tcBorders>
                    <w:top w:val="single" w:color="000000" w:sz="8"/>
                    <w:left w:val="none" w:color="000000" w:sz="4"/>
                    <w:bottom w:val="single" w:color="000000" w:sz="4"/>
                    <w:right w:val="single" w:color="000000" w:sz="8"/>
                  </w:tcBorders>
                </w:tcPr>
                <w:p/>
              </w:tc>
            </w:tr>
            <w:tr>
              <w:tc>
                <w:tcPr>
                  <w:tcW w:type="dxa" w:w="155"/>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超融合服务器</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规格：</w:t>
                  </w:r>
                  <w:r>
                    <w:rPr>
                      <w:rFonts w:ascii="仿宋_GB2312" w:hAnsi="仿宋_GB2312" w:cs="仿宋_GB2312" w:eastAsia="仿宋_GB2312"/>
                      <w:sz w:val="22"/>
                      <w:color w:val="000000"/>
                    </w:rPr>
                    <w:t>2U机柜，内存&gt;≥128G，SSD系统盘≥480GB，存储容量≥40TB；千兆电口≥4个，万兆光口≥2个，2≥可扩展槽位。</w:t>
                  </w:r>
                </w:p>
                <w:p>
                  <w:pPr>
                    <w:pStyle w:val="null3"/>
                    <w:jc w:val="left"/>
                  </w:pPr>
                  <w:r>
                    <w:rPr>
                      <w:rFonts w:ascii="仿宋_GB2312" w:hAnsi="仿宋_GB2312" w:cs="仿宋_GB2312" w:eastAsia="仿宋_GB2312"/>
                      <w:sz w:val="22"/>
                      <w:color w:val="000000"/>
                    </w:rPr>
                    <w:t>软件要求：基本要求</w:t>
                  </w:r>
                  <w:r>
                    <w:rPr>
                      <w:rFonts w:ascii="仿宋_GB2312" w:hAnsi="仿宋_GB2312" w:cs="仿宋_GB2312" w:eastAsia="仿宋_GB2312"/>
                      <w:sz w:val="22"/>
                      <w:color w:val="000000"/>
                    </w:rPr>
                    <w:t>:要求超融合中的计算存储软件均为裸金属部署，无需在虚拟机上安装存储控制器即可实现超融合平台的搭建，每个超融合节点出厂自带管理软件，设备上电后可登录任意一台来做超融合管理节点，出厂即具备虚拟化特性，上电开机三步之内即可完成初始化，登陆超融合管理界面进行虚机管理操作，简单易用免去软硬件兼容性问题。</w:t>
                  </w:r>
                </w:p>
              </w:tc>
              <w:tc>
                <w:tcPr>
                  <w:tcW w:type="dxa" w:w="258"/>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55"/>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存储交换机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24≥自适应电口，4≥万兆光口；交换容量≥ 672Gbps/6.72Tbps，包转发率≥171Mpps/309Mpps，支持全端口线速转发；</w:t>
                  </w:r>
                </w:p>
              </w:tc>
              <w:tc>
                <w:tcPr>
                  <w:tcW w:type="dxa" w:w="258"/>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155"/>
                  <w:tcBorders>
                    <w:top w:val="none" w:color="000000" w:sz="4"/>
                    <w:left w:val="single" w:color="000000" w:sz="8"/>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防火墙</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1.性能参数：网络层吞吐量≥20G，应用层吞吐量≥10G，防病毒吞吐量≥1.5G，IPS吞吐量≥1.5G，全威胁吞吐量≥1G，并发连接数≥300万，HTTP新建连接数≥9万，IPSec VPN 最大接入数≥1000，IPSec VPN吞吐量≥700M。</w:t>
                  </w:r>
                </w:p>
                <w:p>
                  <w:pPr>
                    <w:pStyle w:val="null3"/>
                    <w:jc w:val="left"/>
                  </w:pPr>
                  <w:r>
                    <w:rPr>
                      <w:rFonts w:ascii="仿宋_GB2312" w:hAnsi="仿宋_GB2312" w:cs="仿宋_GB2312" w:eastAsia="仿宋_GB2312"/>
                      <w:sz w:val="22"/>
                      <w:color w:val="000000"/>
                    </w:rPr>
                    <w:t>2.硬件参数：规格：1U，内存大小≥8G，硬盘SSD容量：≥128G ，电源：单电源，接口：8≥千兆电口,2≥万兆光口SFP+。</w:t>
                  </w:r>
                </w:p>
              </w:tc>
              <w:tc>
                <w:tcPr>
                  <w:tcW w:type="dxa" w:w="258"/>
                  <w:tcBorders>
                    <w:top w:val="none" w:color="000000" w:sz="4"/>
                    <w:left w:val="none" w:color="000000" w:sz="4"/>
                    <w:bottom w:val="single" w:color="000000" w:sz="4"/>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155"/>
                  <w:tcBorders>
                    <w:top w:val="none" w:color="000000" w:sz="4"/>
                    <w:left w:val="single" w:color="000000" w:sz="8"/>
                    <w:bottom w:val="single" w:color="000000" w:sz="8"/>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42"/>
                  <w:tcBorders>
                    <w:top w:val="none" w:color="000000" w:sz="4"/>
                    <w:left w:val="none" w:color="000000" w:sz="4"/>
                    <w:bottom w:val="single" w:color="000000" w:sz="8"/>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交换机</w:t>
                  </w:r>
                </w:p>
              </w:tc>
              <w:tc>
                <w:tcPr>
                  <w:tcW w:type="dxa" w:w="1798"/>
                  <w:tcBorders>
                    <w:top w:val="none" w:color="000000" w:sz="4"/>
                    <w:left w:val="none" w:color="000000" w:sz="4"/>
                    <w:bottom w:val="single" w:color="000000" w:sz="8"/>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1.交换容量≥672Gbps,包转发率≥207Mpps,静音无风扇；</w:t>
                  </w:r>
                  <w:r>
                    <w:br/>
                  </w:r>
                  <w:r>
                    <w:rPr>
                      <w:rFonts w:ascii="仿宋_GB2312" w:hAnsi="仿宋_GB2312" w:cs="仿宋_GB2312" w:eastAsia="仿宋_GB2312"/>
                      <w:sz w:val="22"/>
                      <w:color w:val="000000"/>
                    </w:rPr>
                    <w:t>2.提供≥48个10/100/1000BASE-T 电口，提供≥4个1/10GE SFP+端口；</w:t>
                  </w:r>
                  <w:r>
                    <w:br/>
                  </w:r>
                  <w:r>
                    <w:rPr>
                      <w:rFonts w:ascii="仿宋_GB2312" w:hAnsi="仿宋_GB2312" w:cs="仿宋_GB2312" w:eastAsia="仿宋_GB2312"/>
                      <w:sz w:val="22"/>
                      <w:color w:val="000000"/>
                    </w:rPr>
                    <w:t>3.支持基于端口的 VLAN，支持基于协议的VLAN；</w:t>
                  </w:r>
                  <w:r>
                    <w:br/>
                  </w:r>
                  <w:r>
                    <w:rPr>
                      <w:rFonts w:ascii="仿宋_GB2312" w:hAnsi="仿宋_GB2312" w:cs="仿宋_GB2312" w:eastAsia="仿宋_GB2312"/>
                      <w:sz w:val="22"/>
                      <w:color w:val="000000"/>
                    </w:rPr>
                    <w:t>4.堆叠链路冗余保护能够快速收敛，收敛时间≤50ms；</w:t>
                  </w:r>
                  <w:r>
                    <w:br/>
                  </w:r>
                  <w:r>
                    <w:rPr>
                      <w:rFonts w:ascii="仿宋_GB2312" w:hAnsi="仿宋_GB2312" w:cs="仿宋_GB2312" w:eastAsia="仿宋_GB2312"/>
                      <w:sz w:val="22"/>
                      <w:color w:val="000000"/>
                    </w:rPr>
                    <w:t>5.支持IPv4/IPV6双栈管理和转发，支持静态路由协议和RIP、OSPF等路由协议，支持丰富的管理和安全特性)；</w:t>
                  </w:r>
                  <w:r>
                    <w:br/>
                  </w:r>
                  <w:r>
                    <w:rPr>
                      <w:rFonts w:ascii="仿宋_GB2312" w:hAnsi="仿宋_GB2312" w:cs="仿宋_GB2312" w:eastAsia="仿宋_GB2312"/>
                      <w:sz w:val="22"/>
                      <w:color w:val="000000"/>
                    </w:rPr>
                    <w:t>6.支持内置智能图形化管理功能，能够实现通过图形化界面设备配置及命令一键下发和版本智能升级，全局配置及网管口配置，设备升级备份、监控及设备故障替换，组网拓扑可视及管理、设备列表展示等功能。</w:t>
                  </w:r>
                </w:p>
              </w:tc>
              <w:tc>
                <w:tcPr>
                  <w:tcW w:type="dxa" w:w="258"/>
                  <w:tcBorders>
                    <w:top w:val="none" w:color="000000" w:sz="4"/>
                    <w:left w:val="none" w:color="000000" w:sz="4"/>
                    <w:bottom w:val="single" w:color="000000" w:sz="8"/>
                    <w:right w:val="single" w:color="000000" w:sz="8"/>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bl>
          <w:p>
            <w:pPr>
              <w:pStyle w:val="null3"/>
              <w:ind w:firstLine="880"/>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满足本项目人员配置要求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满足本项目设施设备要求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自合同签订之日起18个月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由甲方负责组织验收，或者邀请有关专家等进行验收，并填写政府采购项目验收报告单。验收须以合同、磋商文件及响应文件、澄清及国家相应的标准、规范等为依据。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2025年10月31日前，进场施工后支付项目资金67万元，资金执行率达到52%</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52.76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2025年12月31日前，完成系统安装调试，支付项目资金30万元，累计支付97万元，资金执行率达到76%</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23.62</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2026年3月31日前，支付项目资金30万元，累计支付127万元，资金执行率达到100%。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23.62</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1、成交供应商在领取成交通知书时，须提交纸质磋商响应文件正本壹份、副本贰份、电子版壹份 （U盘壹份注明单位名 称），内容和通过电子化交易平台提交的磋商响应文件一致；纸质投标文件正副本分别胶装成册，采用双面打印。2、采用电子保函提交磋商保证金的，须在首次提交响应文件截止之日前将电子保函发送至邮箱 544427696@qq.com，代理机构收到保函后将由财务处出具保函接收凭证。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营业执照或相关证明文件</w:t>
            </w:r>
          </w:p>
        </w:tc>
        <w:tc>
          <w:tcPr>
            <w:tcW w:type="dxa" w:w="3322"/>
          </w:tcPr>
          <w:p>
            <w:pPr>
              <w:pStyle w:val="null3"/>
            </w:pPr>
            <w:r>
              <w:rPr>
                <w:rFonts w:ascii="仿宋_GB2312" w:hAnsi="仿宋_GB2312" w:cs="仿宋_GB2312" w:eastAsia="仿宋_GB2312"/>
              </w:rPr>
              <w:t>供应商须为独立承担民事责任能力的法人或其 他组织或自然人。其中企业法人应提供有效的 统一社会信用代码的营业执照，事业法人应提 供事业单位法人证、组织机构代码证等证明文 件，其他组织应提供相应的合法证明文件，自 然人提供身份证明文件；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法定代表人或单位负责人授权书</w:t>
            </w:r>
          </w:p>
        </w:tc>
        <w:tc>
          <w:tcPr>
            <w:tcW w:type="dxa" w:w="3322"/>
          </w:tcPr>
          <w:p>
            <w:pPr>
              <w:pStyle w:val="null3"/>
            </w:pPr>
            <w:r>
              <w:rPr>
                <w:rFonts w:ascii="仿宋_GB2312" w:hAnsi="仿宋_GB2312" w:cs="仿宋_GB2312" w:eastAsia="仿宋_GB2312"/>
              </w:rPr>
              <w:t>法定代表人参加投标须提供《法定代表人身份 证明》及身份证复印件；法定代表人授权他人 参加投标，须提供《法定代表人授权委托书》 、委托代理人身份证复印件；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供应商应具有良好的商业信誉和健全的财务会 计制度,具有履行合同所必需的设备和专业技术 能力,具有依法缴纳税收和社会保障金的良好记 录，参加本项目采购活动前三年内无重大违法 活动记录，未列入在信用中国网站“失信被执行 人”、“重大税收违法案件当事人名单”中，也未 列入中国政府采购网“政府采购严重违法失信行 为记录名单”中。 需提供《汉中市政府采购供应 商资格承诺函》；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自合同签订之日起18个月</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响应文件内容符合磋商文件要求</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供应商应按采购文件约定交纳磋商保证金，并提供采购代理机构开具的磋商保证金收据</w:t>
            </w:r>
          </w:p>
        </w:tc>
        <w:tc>
          <w:tcPr>
            <w:tcW w:type="dxa" w:w="1661"/>
          </w:tcPr>
          <w:p>
            <w:pPr>
              <w:pStyle w:val="null3"/>
            </w:pPr>
            <w:r>
              <w:rPr>
                <w:rFonts w:ascii="仿宋_GB2312" w:hAnsi="仿宋_GB2312" w:cs="仿宋_GB2312" w:eastAsia="仿宋_GB2312"/>
              </w:rPr>
              <w:t>磋商保证金.docx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投标报价</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采用低价优先法计算，即满足竞争性磋商文件要求且最后报价最低的供应商的价格为磋商基准价，其价格分为满分。其他供应商的价格分统一按照下列公式计算：磋商报价得分=（磋商基准价/最终磋商报价）×价格权值（即15%）×100 （因落实政府采购政策进行价格调整的，以调整后的价格计算评标基准价和磋商报价）</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tc>
      </w:tr>
      <w:tr>
        <w:tc>
          <w:tcPr>
            <w:tcW w:type="dxa" w:w="831"/>
            <w:vMerge/>
          </w:tcPr>
          <w:p/>
        </w:tc>
        <w:tc>
          <w:tcPr>
            <w:tcW w:type="dxa" w:w="1661"/>
          </w:tcPr>
          <w:p>
            <w:pPr>
              <w:pStyle w:val="null3"/>
            </w:pPr>
            <w:r>
              <w:rPr>
                <w:rFonts w:ascii="仿宋_GB2312" w:hAnsi="仿宋_GB2312" w:cs="仿宋_GB2312" w:eastAsia="仿宋_GB2312"/>
              </w:rPr>
              <w:t>软件平台功能演示</w:t>
            </w:r>
          </w:p>
        </w:tc>
        <w:tc>
          <w:tcPr>
            <w:tcW w:type="dxa" w:w="2492"/>
          </w:tcPr>
          <w:p>
            <w:pPr>
              <w:pStyle w:val="null3"/>
            </w:pPr>
            <w:r>
              <w:rPr>
                <w:rFonts w:ascii="仿宋_GB2312" w:hAnsi="仿宋_GB2312" w:cs="仿宋_GB2312" w:eastAsia="仿宋_GB2312"/>
              </w:rPr>
              <w:t>一、评审内容： 以下为演示项，对下列演示项进行系统操作页面进行演示，每成功演示一项功能得1分，本项最多得10分。 二、演示内容： 不限于基本信息管理功能、车辆信息校验管理功能、管控策略审核下发功能、异常车辆管理功能、数据存储、统计汇总功能、数据查询功能、报警管理功能、疑似问题车辆管理功能、数据上报功能、响应评估功能、车辆信息库、实时视频监控与回放功能、运维申请审核、区县级应用及权限管理等功能。 备注：演示形式：采用Demo原型系统或视频录屏或PPT形式，演示时长不超过10分钟，开启详细评审后通知供应商前往腾讯会议视频，采用演讲者模式进行演示。</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供应商需补充的其他内容.docx</w:t>
            </w:r>
          </w:p>
        </w:tc>
      </w:tr>
      <w:tr>
        <w:tc>
          <w:tcPr>
            <w:tcW w:type="dxa" w:w="831"/>
            <w:vMerge/>
          </w:tcPr>
          <w:p/>
        </w:tc>
        <w:tc>
          <w:tcPr>
            <w:tcW w:type="dxa" w:w="1661"/>
          </w:tcPr>
          <w:p>
            <w:pPr>
              <w:pStyle w:val="null3"/>
            </w:pPr>
            <w:r>
              <w:rPr>
                <w:rFonts w:ascii="仿宋_GB2312" w:hAnsi="仿宋_GB2312" w:cs="仿宋_GB2312" w:eastAsia="仿宋_GB2312"/>
              </w:rPr>
              <w:t>拟派项目团队人员</w:t>
            </w:r>
          </w:p>
        </w:tc>
        <w:tc>
          <w:tcPr>
            <w:tcW w:type="dxa" w:w="2492"/>
          </w:tcPr>
          <w:p>
            <w:pPr>
              <w:pStyle w:val="null3"/>
            </w:pPr>
            <w:r>
              <w:rPr>
                <w:rFonts w:ascii="仿宋_GB2312" w:hAnsi="仿宋_GB2312" w:cs="仿宋_GB2312" w:eastAsia="仿宋_GB2312"/>
              </w:rPr>
              <w:t>①拟派本项目负责人具有计算机技术与软件等相关专业高级资格的得2分，具有计算机技术与软件等相关专业中级资格的得1分； 评审依据：须提供加盖公章的项目负责人资格证书复印件，未提供不得分。 ②拟投入本项目专业技术团队配置合理，除项目负责人外，配备完成本项目所须的相关专业人员，每配备1人得1分，最多得5分； 评审依据：以加盖公章的专业人员身份证、相关专业技术证书或岗位证书或培训证书、劳务合同复印件为准，未提供不得分。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其他证明材料.docx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提供2022年1月1日至今类似项目业绩，每提供一个计2分，满分8分。 评审依据：以加盖公章的中标通知书或合同协议书复印件为准，未提供不得分。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其他证明材料.docx</w:t>
            </w:r>
          </w:p>
        </w:tc>
      </w:tr>
      <w:tr>
        <w:tc>
          <w:tcPr>
            <w:tcW w:type="dxa" w:w="831"/>
            <w:vMerge/>
          </w:tcPr>
          <w:p/>
        </w:tc>
        <w:tc>
          <w:tcPr>
            <w:tcW w:type="dxa" w:w="1661"/>
          </w:tcPr>
          <w:p>
            <w:pPr>
              <w:pStyle w:val="null3"/>
            </w:pPr>
            <w:r>
              <w:rPr>
                <w:rFonts w:ascii="仿宋_GB2312" w:hAnsi="仿宋_GB2312" w:cs="仿宋_GB2312" w:eastAsia="仿宋_GB2312"/>
              </w:rPr>
              <w:t>供货来源渠道证明</w:t>
            </w:r>
          </w:p>
        </w:tc>
        <w:tc>
          <w:tcPr>
            <w:tcW w:type="dxa" w:w="2492"/>
          </w:tcPr>
          <w:p>
            <w:pPr>
              <w:pStyle w:val="null3"/>
            </w:pPr>
            <w:r>
              <w:rPr>
                <w:rFonts w:ascii="仿宋_GB2312" w:hAnsi="仿宋_GB2312" w:cs="仿宋_GB2312" w:eastAsia="仿宋_GB2312"/>
              </w:rPr>
              <w:t>供应商所投产品供应货源正规，设备选型合理、无劣质、假冒、瑕疵产品。 评审依据：提供包括但不限于产品彩页、厂家授权函、检测报告、产品技术说明、检测报告等证明材料，提供一个得1分，此项最高得4分，未提供不得分。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其他证明材料.docx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 xml:space="preserve"> 质保期应满足采购文件第三章第3.2.2项服务要求中的质保期年限，在此基础上每增加1年得1分，此项最高得2分，以报价一览表中的质保期年限为准。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系统架构</w:t>
            </w:r>
          </w:p>
        </w:tc>
        <w:tc>
          <w:tcPr>
            <w:tcW w:type="dxa" w:w="2492"/>
          </w:tcPr>
          <w:p>
            <w:pPr>
              <w:pStyle w:val="null3"/>
            </w:pPr>
            <w:r>
              <w:rPr>
                <w:rFonts w:ascii="仿宋_GB2312" w:hAnsi="仿宋_GB2312" w:cs="仿宋_GB2312" w:eastAsia="仿宋_GB2312"/>
              </w:rPr>
              <w:t>一、评审内容： 供应商提供系统总体技术架构方案设计：①系统整体技术架构、②逻辑架构设计、③网络架构设计等相关内容。 二、评审标准： 1、完整性：方案内容完整全面，对上述各项内容均有详细描述及说明得3分；缺1项得2分；缺2项得1分。 2、针对性：针对性强，得3分；针对性一般，得1.5分；缺乏针对性，得0.5分。 3、可实施性：可实施性强，得3分；可实施性一般，得1.5分；缺乏可实施性，得0.5分。 4、未提供的不得分。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模块设计</w:t>
            </w:r>
          </w:p>
        </w:tc>
        <w:tc>
          <w:tcPr>
            <w:tcW w:type="dxa" w:w="2492"/>
          </w:tcPr>
          <w:p>
            <w:pPr>
              <w:pStyle w:val="null3"/>
            </w:pPr>
            <w:r>
              <w:rPr>
                <w:rFonts w:ascii="仿宋_GB2312" w:hAnsi="仿宋_GB2312" w:cs="仿宋_GB2312" w:eastAsia="仿宋_GB2312"/>
              </w:rPr>
              <w:t>一、评审内容： 供应商提供系统模块设计包括：①接口设计、②平台功能设计满足资源及性能要求、③平台界面效果图等相关内容。 二、评审标准： 1、完整性：方案内容完整全面，对上述各项内容均有详细描述及说明得3分；缺1项得2分；缺2项得1分。 2、针对性：针对性强，得3分；针对性一般，得1.5分；缺乏针对性，得0.5分。 3、可实施性：可实施性强，得3分；可实施性一般，得1.5分；缺乏可实施性，得0.5分。 4、未提供的不得分。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供应商根据采购需求编制的项目实施方案：①时间进度方案、②项目管理方案、③软件开发方案等相关内容。 二、评审标准： 1、完整性：方案内容完整全面，对上述各项内容均有详细描述及说明得3分；缺1项得2分；缺2项得1分。 2、针对性：针对性强，得3分；针对性一般，得1.5分；缺乏针对性，得0.5分。 3、可实施性：可实施性强，得3分；可实施性一般，得1.5分；缺乏可实施性，得0.5分。 4、未提供的不得分。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故障解决措施</w:t>
            </w:r>
          </w:p>
        </w:tc>
        <w:tc>
          <w:tcPr>
            <w:tcW w:type="dxa" w:w="2492"/>
          </w:tcPr>
          <w:p>
            <w:pPr>
              <w:pStyle w:val="null3"/>
            </w:pPr>
            <w:r>
              <w:rPr>
                <w:rFonts w:ascii="仿宋_GB2312" w:hAnsi="仿宋_GB2312" w:cs="仿宋_GB2312" w:eastAsia="仿宋_GB2312"/>
              </w:rPr>
              <w:t>一、评审内容： 供应商根据故障解决措施的设置包括：①服务响应时间②紧急故障处理预案③故障恢复时间等相关内容。 二、评审标准： 1、完整性：措施内容完整全面，对上述各项内容均有详细描述及说明得3分；缺1项得2分；缺2项得1分。 2、针对性：针对性强，得3分；针对性一般，得1.5分；缺乏针对性，得0.5分。 3、可实施性：可实施性强，得3分；可实施性一般，得1.5分；缺乏可实施性，得0.5分。 4、未提供的不得分。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供应商根据采购需求编制的质量保证措施：①系统部署方案、②质量保证方案、③培训方案等相关内容。 二、评审标准： 1、完整性：措施内容完整全面，对上述各项内容均有详细描述及说明得3分；缺1项得2分；缺2项得1分。 2、针对性：针对性强，得3分；针对性一般，得1.5分；缺乏针对性，得0.5分。 3、可实施性：可实施性强，得3分；可实施性一般，得1.5分；缺乏可实施性，得0.5分。 4、未提供的不得分。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售后服务及运维方案</w:t>
            </w:r>
          </w:p>
        </w:tc>
        <w:tc>
          <w:tcPr>
            <w:tcW w:type="dxa" w:w="2492"/>
          </w:tcPr>
          <w:p>
            <w:pPr>
              <w:pStyle w:val="null3"/>
            </w:pPr>
            <w:r>
              <w:rPr>
                <w:rFonts w:ascii="仿宋_GB2312" w:hAnsi="仿宋_GB2312" w:cs="仿宋_GB2312" w:eastAsia="仿宋_GB2312"/>
              </w:rPr>
              <w:t>一、评审内容： 供应商提供售后运维的内容包括：①售后服务体系②售后服务措施③运维服务保障方案。 二、评审标准： 1、完整性：方案内容完整全面，对上述各项内容均有详细描述及说明得3分；缺1项得2分；缺2项得1分。 2、针对性：针对性强，得3分；针对性一般，得1.5分；缺乏针对性，得0.5分。 3、可实施性：可实施性强，得3分；可实施性一般，得1.5分；缺乏可实施性，得0.5分。 4、未提供的不得分。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详见附件：其他证明材料.docx</w:t>
      </w:r>
    </w:p>
    <w:p>
      <w:pPr>
        <w:pStyle w:val="null3"/>
        <w:ind w:firstLine="960"/>
      </w:pPr>
      <w:r>
        <w:rPr>
          <w:rFonts w:ascii="仿宋_GB2312" w:hAnsi="仿宋_GB2312" w:cs="仿宋_GB2312" w:eastAsia="仿宋_GB2312"/>
        </w:rPr>
        <w:t>详见附件：磋商保证金.docx</w:t>
      </w:r>
    </w:p>
    <w:p>
      <w:pPr>
        <w:pStyle w:val="null3"/>
        <w:ind w:firstLine="960"/>
      </w:pPr>
      <w:r>
        <w:rPr>
          <w:rFonts w:ascii="仿宋_GB2312" w:hAnsi="仿宋_GB2312" w:cs="仿宋_GB2312" w:eastAsia="仿宋_GB2312"/>
        </w:rPr>
        <w:t>详见附件：供应商需补充的其他内容.docx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