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A3C410">
      <w:pPr>
        <w:spacing w:line="500" w:lineRule="exact"/>
        <w:jc w:val="center"/>
        <w:rPr>
          <w:rFonts w:hint="eastAsia" w:ascii="宋体" w:hAnsi="宋体" w:eastAsia="宋体" w:cs="宋体"/>
          <w:b/>
          <w:color w:val="0000FF"/>
          <w:sz w:val="36"/>
          <w:szCs w:val="36"/>
          <w:highlight w:val="none"/>
        </w:rPr>
      </w:pPr>
      <w:r>
        <w:rPr>
          <w:rFonts w:hint="eastAsia" w:ascii="宋体" w:hAnsi="宋体" w:eastAsia="宋体" w:cs="宋体"/>
          <w:b/>
          <w:color w:val="0000FF"/>
          <w:sz w:val="36"/>
          <w:szCs w:val="36"/>
          <w:highlight w:val="none"/>
        </w:rPr>
        <w:t>政府采购合同主要条款格式</w:t>
      </w:r>
    </w:p>
    <w:p w14:paraId="571FD375">
      <w:pPr>
        <w:pStyle w:val="7"/>
        <w:spacing w:line="360" w:lineRule="auto"/>
        <w:ind w:firstLine="480"/>
        <w:rPr>
          <w:rFonts w:hint="eastAsia"/>
          <w:sz w:val="24"/>
          <w:szCs w:val="32"/>
          <w:highlight w:val="none"/>
        </w:rPr>
      </w:pPr>
      <w:r>
        <w:rPr>
          <w:rFonts w:hint="eastAsia" w:ascii="宋体" w:hAnsi="宋体" w:eastAsia="宋体" w:cs="宋体"/>
          <w:b/>
          <w:bCs/>
          <w:highlight w:val="none"/>
        </w:rPr>
        <w:t>（注：本章节的采购合同仅供参考，可根据项目的实际情况增减条款和内容</w:t>
      </w:r>
      <w:r>
        <w:rPr>
          <w:rFonts w:hint="eastAsia" w:ascii="宋体" w:hAnsi="宋体" w:eastAsia="宋体" w:cs="宋体"/>
          <w:b/>
          <w:bCs/>
          <w:highlight w:val="none"/>
          <w:lang w:eastAsia="zh-CN"/>
        </w:rPr>
        <w:t>，</w:t>
      </w:r>
      <w:r>
        <w:rPr>
          <w:rFonts w:hint="eastAsia" w:ascii="宋体" w:hAnsi="宋体" w:eastAsia="宋体" w:cs="宋体"/>
          <w:b/>
          <w:bCs/>
          <w:highlight w:val="none"/>
        </w:rPr>
        <w:t>正式合同以甲乙方双签订的为准。）</w:t>
      </w:r>
      <w:bookmarkStart w:id="0" w:name="_Toc15476_WPSOffice_Level2"/>
      <w:bookmarkStart w:id="1" w:name="_Toc19655_WPSOffice_Level2"/>
      <w:bookmarkStart w:id="2" w:name="_Toc31599_WPSOffice_Level2"/>
    </w:p>
    <w:p w14:paraId="6730CFEA">
      <w:pPr>
        <w:spacing w:line="360" w:lineRule="auto"/>
        <w:ind w:firstLine="480" w:firstLineChars="200"/>
        <w:rPr>
          <w:rFonts w:hint="eastAsia"/>
          <w:sz w:val="24"/>
          <w:szCs w:val="32"/>
          <w:highlight w:val="none"/>
        </w:rPr>
      </w:pPr>
      <w:r>
        <w:rPr>
          <w:rFonts w:hint="eastAsia"/>
          <w:sz w:val="24"/>
          <w:szCs w:val="32"/>
          <w:highlight w:val="none"/>
        </w:rPr>
        <w:t>采购人（以下简称甲方）：</w:t>
      </w:r>
    </w:p>
    <w:p w14:paraId="46BF8E67">
      <w:pPr>
        <w:spacing w:line="360" w:lineRule="auto"/>
        <w:ind w:firstLine="480" w:firstLineChars="200"/>
        <w:rPr>
          <w:rFonts w:hint="eastAsia"/>
          <w:sz w:val="24"/>
          <w:szCs w:val="32"/>
          <w:highlight w:val="none"/>
        </w:rPr>
      </w:pPr>
      <w:r>
        <w:rPr>
          <w:rFonts w:hint="eastAsia"/>
          <w:sz w:val="24"/>
          <w:szCs w:val="32"/>
          <w:highlight w:val="none"/>
        </w:rPr>
        <w:t>供应商（以下简称乙方）：</w:t>
      </w:r>
    </w:p>
    <w:p w14:paraId="5DBFA6C5">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根据《中华人民共和国民法典》、《中华人民共和国政府采购法》及其它有关法律、行政法规，为明确双方在施工过程中的权利、义务，经双方协商自愿签订本合同。</w:t>
      </w:r>
    </w:p>
    <w:p w14:paraId="0945C257">
      <w:pPr>
        <w:numPr>
          <w:ilvl w:val="0"/>
          <w:numId w:val="1"/>
        </w:numPr>
        <w:spacing w:line="360" w:lineRule="auto"/>
        <w:rPr>
          <w:rFonts w:hint="eastAsia"/>
          <w:sz w:val="24"/>
          <w:szCs w:val="24"/>
          <w:highlight w:val="none"/>
        </w:rPr>
      </w:pPr>
      <w:r>
        <w:rPr>
          <w:rFonts w:hint="eastAsia"/>
          <w:sz w:val="24"/>
          <w:szCs w:val="24"/>
          <w:highlight w:val="none"/>
        </w:rPr>
        <w:t>合同内容（标的、数量、质量等）:</w:t>
      </w:r>
    </w:p>
    <w:p w14:paraId="1BA766ED">
      <w:pPr>
        <w:numPr>
          <w:ilvl w:val="0"/>
          <w:numId w:val="1"/>
        </w:numPr>
        <w:spacing w:line="360" w:lineRule="auto"/>
        <w:rPr>
          <w:sz w:val="24"/>
          <w:szCs w:val="24"/>
          <w:highlight w:val="none"/>
        </w:rPr>
      </w:pPr>
      <w:r>
        <w:rPr>
          <w:rFonts w:hint="eastAsia"/>
          <w:sz w:val="24"/>
          <w:szCs w:val="24"/>
          <w:highlight w:val="none"/>
        </w:rPr>
        <w:t>合同价款</w:t>
      </w:r>
    </w:p>
    <w:p w14:paraId="14DDB15D">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合同单价：</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59C70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61853592">
            <w:pPr>
              <w:numPr>
                <w:ilvl w:val="0"/>
                <w:numId w:val="0"/>
              </w:numPr>
              <w:spacing w:line="360" w:lineRule="auto"/>
              <w:rPr>
                <w:sz w:val="24"/>
                <w:szCs w:val="24"/>
                <w:highlight w:val="none"/>
                <w:vertAlign w:val="baseline"/>
              </w:rPr>
            </w:pPr>
            <w:r>
              <w:rPr>
                <w:rFonts w:hint="eastAsia"/>
                <w:sz w:val="24"/>
                <w:szCs w:val="24"/>
                <w:highlight w:val="none"/>
              </w:rPr>
              <w:t>产品名称</w:t>
            </w:r>
          </w:p>
        </w:tc>
        <w:tc>
          <w:tcPr>
            <w:tcW w:w="1420" w:type="dxa"/>
            <w:noWrap w:val="0"/>
            <w:vAlign w:val="top"/>
          </w:tcPr>
          <w:p w14:paraId="36D942F8">
            <w:pPr>
              <w:numPr>
                <w:ilvl w:val="0"/>
                <w:numId w:val="0"/>
              </w:numPr>
              <w:spacing w:line="360" w:lineRule="auto"/>
              <w:rPr>
                <w:sz w:val="24"/>
                <w:szCs w:val="24"/>
                <w:highlight w:val="none"/>
                <w:vertAlign w:val="baseline"/>
              </w:rPr>
            </w:pPr>
            <w:r>
              <w:rPr>
                <w:rFonts w:hint="eastAsia"/>
                <w:sz w:val="24"/>
                <w:szCs w:val="24"/>
                <w:highlight w:val="none"/>
              </w:rPr>
              <w:t>规格</w:t>
            </w:r>
          </w:p>
        </w:tc>
        <w:tc>
          <w:tcPr>
            <w:tcW w:w="1420" w:type="dxa"/>
            <w:noWrap w:val="0"/>
            <w:vAlign w:val="top"/>
          </w:tcPr>
          <w:p w14:paraId="462D83F9">
            <w:pPr>
              <w:numPr>
                <w:ilvl w:val="0"/>
                <w:numId w:val="0"/>
              </w:numPr>
              <w:spacing w:line="360" w:lineRule="auto"/>
              <w:rPr>
                <w:sz w:val="24"/>
                <w:szCs w:val="24"/>
                <w:highlight w:val="none"/>
                <w:vertAlign w:val="baseline"/>
              </w:rPr>
            </w:pPr>
            <w:r>
              <w:rPr>
                <w:rFonts w:hint="eastAsia"/>
                <w:sz w:val="24"/>
                <w:szCs w:val="24"/>
                <w:highlight w:val="none"/>
              </w:rPr>
              <w:t xml:space="preserve"> 制造厂家</w:t>
            </w:r>
          </w:p>
        </w:tc>
        <w:tc>
          <w:tcPr>
            <w:tcW w:w="1420" w:type="dxa"/>
            <w:noWrap w:val="0"/>
            <w:vAlign w:val="top"/>
          </w:tcPr>
          <w:p w14:paraId="5BF2C35C">
            <w:pPr>
              <w:numPr>
                <w:ilvl w:val="0"/>
                <w:numId w:val="0"/>
              </w:numPr>
              <w:spacing w:line="360" w:lineRule="auto"/>
              <w:rPr>
                <w:sz w:val="24"/>
                <w:szCs w:val="24"/>
                <w:highlight w:val="none"/>
                <w:vertAlign w:val="baseline"/>
              </w:rPr>
            </w:pPr>
            <w:r>
              <w:rPr>
                <w:rFonts w:hint="eastAsia"/>
                <w:sz w:val="24"/>
                <w:szCs w:val="24"/>
                <w:highlight w:val="none"/>
              </w:rPr>
              <w:t>数量</w:t>
            </w:r>
          </w:p>
        </w:tc>
        <w:tc>
          <w:tcPr>
            <w:tcW w:w="1421" w:type="dxa"/>
            <w:noWrap w:val="0"/>
            <w:vAlign w:val="top"/>
          </w:tcPr>
          <w:p w14:paraId="13027FE6">
            <w:pPr>
              <w:numPr>
                <w:ilvl w:val="0"/>
                <w:numId w:val="0"/>
              </w:numPr>
              <w:spacing w:line="360" w:lineRule="auto"/>
              <w:rPr>
                <w:sz w:val="24"/>
                <w:szCs w:val="24"/>
                <w:highlight w:val="none"/>
                <w:vertAlign w:val="baseline"/>
              </w:rPr>
            </w:pPr>
            <w:r>
              <w:rPr>
                <w:rFonts w:hint="eastAsia"/>
                <w:sz w:val="24"/>
                <w:szCs w:val="24"/>
                <w:highlight w:val="none"/>
              </w:rPr>
              <w:t>单位</w:t>
            </w:r>
          </w:p>
        </w:tc>
        <w:tc>
          <w:tcPr>
            <w:tcW w:w="1421" w:type="dxa"/>
            <w:noWrap w:val="0"/>
            <w:vAlign w:val="top"/>
          </w:tcPr>
          <w:p w14:paraId="0829027F">
            <w:pPr>
              <w:numPr>
                <w:ilvl w:val="0"/>
                <w:numId w:val="0"/>
              </w:numPr>
              <w:spacing w:line="360" w:lineRule="auto"/>
              <w:rPr>
                <w:sz w:val="24"/>
                <w:szCs w:val="24"/>
                <w:highlight w:val="none"/>
                <w:vertAlign w:val="baseline"/>
              </w:rPr>
            </w:pPr>
            <w:r>
              <w:rPr>
                <w:rFonts w:hint="eastAsia"/>
                <w:sz w:val="24"/>
                <w:szCs w:val="24"/>
                <w:highlight w:val="none"/>
              </w:rPr>
              <w:t xml:space="preserve">  单价（元）</w:t>
            </w:r>
          </w:p>
        </w:tc>
      </w:tr>
      <w:tr w14:paraId="4EC8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41E2E04">
            <w:pPr>
              <w:numPr>
                <w:ilvl w:val="0"/>
                <w:numId w:val="0"/>
              </w:numPr>
              <w:spacing w:line="360" w:lineRule="auto"/>
              <w:rPr>
                <w:rFonts w:hint="eastAsia"/>
                <w:sz w:val="24"/>
                <w:szCs w:val="24"/>
                <w:highlight w:val="none"/>
              </w:rPr>
            </w:pPr>
          </w:p>
        </w:tc>
        <w:tc>
          <w:tcPr>
            <w:tcW w:w="1420" w:type="dxa"/>
            <w:noWrap w:val="0"/>
            <w:vAlign w:val="top"/>
          </w:tcPr>
          <w:p w14:paraId="0F03F498">
            <w:pPr>
              <w:numPr>
                <w:ilvl w:val="0"/>
                <w:numId w:val="0"/>
              </w:numPr>
              <w:spacing w:line="360" w:lineRule="auto"/>
              <w:rPr>
                <w:rFonts w:hint="eastAsia"/>
                <w:sz w:val="24"/>
                <w:szCs w:val="24"/>
                <w:highlight w:val="none"/>
              </w:rPr>
            </w:pPr>
          </w:p>
        </w:tc>
        <w:tc>
          <w:tcPr>
            <w:tcW w:w="1420" w:type="dxa"/>
            <w:noWrap w:val="0"/>
            <w:vAlign w:val="top"/>
          </w:tcPr>
          <w:p w14:paraId="5EEF4EC3">
            <w:pPr>
              <w:numPr>
                <w:ilvl w:val="0"/>
                <w:numId w:val="0"/>
              </w:numPr>
              <w:spacing w:line="360" w:lineRule="auto"/>
              <w:rPr>
                <w:rFonts w:hint="eastAsia"/>
                <w:sz w:val="24"/>
                <w:szCs w:val="24"/>
                <w:highlight w:val="none"/>
              </w:rPr>
            </w:pPr>
          </w:p>
        </w:tc>
        <w:tc>
          <w:tcPr>
            <w:tcW w:w="1420" w:type="dxa"/>
            <w:noWrap w:val="0"/>
            <w:vAlign w:val="top"/>
          </w:tcPr>
          <w:p w14:paraId="76F6978F">
            <w:pPr>
              <w:numPr>
                <w:ilvl w:val="0"/>
                <w:numId w:val="0"/>
              </w:numPr>
              <w:spacing w:line="360" w:lineRule="auto"/>
              <w:rPr>
                <w:rFonts w:hint="eastAsia"/>
                <w:sz w:val="24"/>
                <w:szCs w:val="24"/>
                <w:highlight w:val="none"/>
              </w:rPr>
            </w:pPr>
          </w:p>
        </w:tc>
        <w:tc>
          <w:tcPr>
            <w:tcW w:w="1421" w:type="dxa"/>
            <w:noWrap w:val="0"/>
            <w:vAlign w:val="top"/>
          </w:tcPr>
          <w:p w14:paraId="0227DE05">
            <w:pPr>
              <w:numPr>
                <w:ilvl w:val="0"/>
                <w:numId w:val="0"/>
              </w:numPr>
              <w:spacing w:line="360" w:lineRule="auto"/>
              <w:rPr>
                <w:rFonts w:hint="eastAsia"/>
                <w:sz w:val="24"/>
                <w:szCs w:val="24"/>
                <w:highlight w:val="none"/>
              </w:rPr>
            </w:pPr>
          </w:p>
        </w:tc>
        <w:tc>
          <w:tcPr>
            <w:tcW w:w="1421" w:type="dxa"/>
            <w:noWrap w:val="0"/>
            <w:vAlign w:val="top"/>
          </w:tcPr>
          <w:p w14:paraId="6E4610A0">
            <w:pPr>
              <w:numPr>
                <w:ilvl w:val="0"/>
                <w:numId w:val="0"/>
              </w:numPr>
              <w:spacing w:line="360" w:lineRule="auto"/>
              <w:rPr>
                <w:rFonts w:hint="eastAsia"/>
                <w:sz w:val="24"/>
                <w:szCs w:val="24"/>
                <w:highlight w:val="none"/>
              </w:rPr>
            </w:pPr>
          </w:p>
        </w:tc>
      </w:tr>
      <w:tr w14:paraId="75455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noWrap w:val="0"/>
            <w:vAlign w:val="top"/>
          </w:tcPr>
          <w:p w14:paraId="30D0DD7F">
            <w:pPr>
              <w:numPr>
                <w:ilvl w:val="0"/>
                <w:numId w:val="0"/>
              </w:numPr>
              <w:spacing w:line="360" w:lineRule="auto"/>
              <w:rPr>
                <w:rFonts w:hint="eastAsia"/>
                <w:sz w:val="24"/>
                <w:szCs w:val="24"/>
                <w:highlight w:val="none"/>
              </w:rPr>
            </w:pPr>
          </w:p>
        </w:tc>
        <w:tc>
          <w:tcPr>
            <w:tcW w:w="1420" w:type="dxa"/>
            <w:noWrap w:val="0"/>
            <w:vAlign w:val="top"/>
          </w:tcPr>
          <w:p w14:paraId="43068E69">
            <w:pPr>
              <w:numPr>
                <w:ilvl w:val="0"/>
                <w:numId w:val="0"/>
              </w:numPr>
              <w:spacing w:line="360" w:lineRule="auto"/>
              <w:rPr>
                <w:rFonts w:hint="eastAsia"/>
                <w:sz w:val="24"/>
                <w:szCs w:val="24"/>
                <w:highlight w:val="none"/>
              </w:rPr>
            </w:pPr>
          </w:p>
        </w:tc>
        <w:tc>
          <w:tcPr>
            <w:tcW w:w="1420" w:type="dxa"/>
            <w:noWrap w:val="0"/>
            <w:vAlign w:val="top"/>
          </w:tcPr>
          <w:p w14:paraId="6CF50B2E">
            <w:pPr>
              <w:numPr>
                <w:ilvl w:val="0"/>
                <w:numId w:val="0"/>
              </w:numPr>
              <w:spacing w:line="360" w:lineRule="auto"/>
              <w:rPr>
                <w:rFonts w:hint="eastAsia"/>
                <w:sz w:val="24"/>
                <w:szCs w:val="24"/>
                <w:highlight w:val="none"/>
              </w:rPr>
            </w:pPr>
          </w:p>
        </w:tc>
        <w:tc>
          <w:tcPr>
            <w:tcW w:w="1420" w:type="dxa"/>
            <w:noWrap w:val="0"/>
            <w:vAlign w:val="top"/>
          </w:tcPr>
          <w:p w14:paraId="3CEF9A02">
            <w:pPr>
              <w:numPr>
                <w:ilvl w:val="0"/>
                <w:numId w:val="0"/>
              </w:numPr>
              <w:spacing w:line="360" w:lineRule="auto"/>
              <w:rPr>
                <w:rFonts w:hint="eastAsia"/>
                <w:sz w:val="24"/>
                <w:szCs w:val="24"/>
                <w:highlight w:val="none"/>
              </w:rPr>
            </w:pPr>
          </w:p>
        </w:tc>
        <w:tc>
          <w:tcPr>
            <w:tcW w:w="1421" w:type="dxa"/>
            <w:noWrap w:val="0"/>
            <w:vAlign w:val="top"/>
          </w:tcPr>
          <w:p w14:paraId="1BBE7202">
            <w:pPr>
              <w:numPr>
                <w:ilvl w:val="0"/>
                <w:numId w:val="0"/>
              </w:numPr>
              <w:spacing w:line="360" w:lineRule="auto"/>
              <w:rPr>
                <w:rFonts w:hint="eastAsia"/>
                <w:sz w:val="24"/>
                <w:szCs w:val="24"/>
                <w:highlight w:val="none"/>
              </w:rPr>
            </w:pPr>
          </w:p>
        </w:tc>
        <w:tc>
          <w:tcPr>
            <w:tcW w:w="1421" w:type="dxa"/>
            <w:noWrap w:val="0"/>
            <w:vAlign w:val="top"/>
          </w:tcPr>
          <w:p w14:paraId="32CE5B26">
            <w:pPr>
              <w:numPr>
                <w:ilvl w:val="0"/>
                <w:numId w:val="0"/>
              </w:numPr>
              <w:spacing w:line="360" w:lineRule="auto"/>
              <w:rPr>
                <w:rFonts w:hint="eastAsia"/>
                <w:sz w:val="24"/>
                <w:szCs w:val="24"/>
                <w:highlight w:val="none"/>
              </w:rPr>
            </w:pPr>
          </w:p>
        </w:tc>
      </w:tr>
    </w:tbl>
    <w:p w14:paraId="4B96E52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合同单价包括：产品供应费、运杂费、税费及其他相关所有费用。</w:t>
      </w:r>
    </w:p>
    <w:p w14:paraId="6C76D399">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合同单价一次包死，不受市场价变化的影响。</w:t>
      </w:r>
    </w:p>
    <w:p w14:paraId="426A761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合同结算</w:t>
      </w:r>
    </w:p>
    <w:p w14:paraId="332542A0">
      <w:pPr>
        <w:numPr>
          <w:ilvl w:val="0"/>
          <w:numId w:val="2"/>
        </w:numPr>
        <w:spacing w:line="360" w:lineRule="auto"/>
        <w:ind w:firstLine="480" w:firstLineChars="200"/>
        <w:rPr>
          <w:rFonts w:hint="eastAsia"/>
          <w:sz w:val="24"/>
          <w:szCs w:val="24"/>
          <w:highlight w:val="none"/>
        </w:rPr>
      </w:pPr>
      <w:r>
        <w:rPr>
          <w:rFonts w:hint="eastAsia"/>
          <w:sz w:val="24"/>
          <w:szCs w:val="24"/>
          <w:highlight w:val="none"/>
        </w:rPr>
        <w:t>资金支付条件及时间：产品验收合格 ，达到付款条件起</w:t>
      </w:r>
      <w:r>
        <w:rPr>
          <w:rFonts w:hint="eastAsia"/>
          <w:sz w:val="24"/>
          <w:szCs w:val="24"/>
          <w:highlight w:val="none"/>
          <w:lang w:val="en-US" w:eastAsia="zh-CN"/>
        </w:rPr>
        <w:t>25</w:t>
      </w:r>
      <w:r>
        <w:rPr>
          <w:rFonts w:hint="eastAsia"/>
          <w:sz w:val="24"/>
          <w:szCs w:val="24"/>
          <w:highlight w:val="none"/>
        </w:rPr>
        <w:t>日内，支付合同总金额的 100.00%。</w:t>
      </w:r>
    </w:p>
    <w:p w14:paraId="5FDE50B4">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结算方式：银行转账。</w:t>
      </w:r>
    </w:p>
    <w:p w14:paraId="7E34492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结算单位：由甲方负责结算，乙方根据每批次的供货金额开具等额发票交甲方。</w:t>
      </w:r>
    </w:p>
    <w:p w14:paraId="6112D07F">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履行期限、地点:</w:t>
      </w:r>
    </w:p>
    <w:p w14:paraId="3753C3C1">
      <w:pPr>
        <w:numPr>
          <w:ilvl w:val="0"/>
          <w:numId w:val="0"/>
        </w:numPr>
        <w:spacing w:line="360" w:lineRule="auto"/>
        <w:ind w:leftChars="0" w:firstLine="482" w:firstLineChars="200"/>
        <w:rPr>
          <w:rFonts w:hint="eastAsia"/>
          <w:b/>
          <w:bCs/>
          <w:sz w:val="24"/>
          <w:szCs w:val="24"/>
          <w:highlight w:val="none"/>
        </w:rPr>
      </w:pPr>
      <w:r>
        <w:rPr>
          <w:rFonts w:hint="eastAsia"/>
          <w:b/>
          <w:bCs/>
          <w:sz w:val="24"/>
          <w:szCs w:val="24"/>
          <w:highlight w:val="none"/>
        </w:rPr>
        <w:t>履行期限：合同签订之日起，接到采购人通知</w:t>
      </w:r>
      <w:r>
        <w:rPr>
          <w:rFonts w:hint="eastAsia"/>
          <w:b/>
          <w:bCs/>
          <w:sz w:val="24"/>
          <w:szCs w:val="24"/>
          <w:highlight w:val="none"/>
          <w:lang w:val="en-US" w:eastAsia="zh-CN"/>
        </w:rPr>
        <w:t>50天</w:t>
      </w:r>
      <w:r>
        <w:rPr>
          <w:rFonts w:hint="eastAsia"/>
          <w:b/>
          <w:bCs/>
          <w:sz w:val="24"/>
          <w:szCs w:val="24"/>
          <w:highlight w:val="none"/>
        </w:rPr>
        <w:t>内完成交付。（如甲方紧急需要，须 24 小时内配送到位）</w:t>
      </w:r>
    </w:p>
    <w:p w14:paraId="240DFD0A">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履行地点：</w:t>
      </w:r>
    </w:p>
    <w:p w14:paraId="6007DDF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运输要求</w:t>
      </w:r>
    </w:p>
    <w:p w14:paraId="08614F2A">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乙方根据产品特性，自行选择运输及包装方式，承担一切运输费用，包括从生产厂到采购人指定交货地点所需的装卸、运输（含保险费）安装调试及其他一切费用。</w:t>
      </w:r>
    </w:p>
    <w:p w14:paraId="63189E43">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由乙方负责运输、装卸。货物到现场后，与甲方共同对其外观进行验收。乙方应对所供合同货物进行妥善包装，使之能承受所采用的运输条件，确保货物不受任何损伤或损坏。</w:t>
      </w:r>
    </w:p>
    <w:p w14:paraId="4EEB7072">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验收按国家和行业制定的相应的标准执行。</w:t>
      </w:r>
    </w:p>
    <w:p w14:paraId="0A14534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甲方应在产品到货且接到乙方书面随货同行单后当日内验收；甲方设备科与使用科室及乙方共同验收。对试剂进行数量、质量、送达温度等验收，验收合格者，甲方验收人在随货同行单上签字确认。</w:t>
      </w:r>
    </w:p>
    <w:p w14:paraId="3A77A780">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甲方因使用、保管、保养不善等造成产品质量下降的，不得提出异议。</w:t>
      </w:r>
    </w:p>
    <w:p w14:paraId="0C8D9DD1">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乙方在接到甲方书面异议之日起，应在当日内予以回复，否则，即视为默认甲方提出的异议和处理意见。</w:t>
      </w:r>
    </w:p>
    <w:p w14:paraId="654FAD2F">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验收不合格的，乙方负责更换为合格产品，因此产生的费用和给甲方造成的损失均由乙方负责。</w:t>
      </w:r>
    </w:p>
    <w:p w14:paraId="0A4A364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5、</w:t>
      </w:r>
      <w:r>
        <w:rPr>
          <w:rFonts w:hint="eastAsia"/>
          <w:sz w:val="24"/>
          <w:szCs w:val="24"/>
          <w:highlight w:val="none"/>
        </w:rPr>
        <w:t>乙方出售产品的毁损灭失风险，在甲方验收合格并接收前，由乙方承担。</w:t>
      </w:r>
    </w:p>
    <w:p w14:paraId="698CC87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6、</w:t>
      </w:r>
      <w:r>
        <w:rPr>
          <w:rFonts w:hint="eastAsia"/>
          <w:sz w:val="24"/>
          <w:szCs w:val="24"/>
          <w:highlight w:val="none"/>
        </w:rPr>
        <w:t>乙方向甲方提交货物实施过程中的所有资料，以便甲方日后管理和维护。</w:t>
      </w:r>
    </w:p>
    <w:p w14:paraId="33B50481">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售后服务</w:t>
      </w:r>
    </w:p>
    <w:p w14:paraId="322CF286">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乙方不仅应随耗材向甲方提供使用说明书、质量标准或甲方所要求的相关资料，同时乙方须保证甲方在使用过程中的技术支持及售后服务。</w:t>
      </w:r>
    </w:p>
    <w:p w14:paraId="54D63472">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符合出厂要求、包装完整无破损，包装标识清楚，进口试剂或耗材应具有原产国标识及中文标识且标识必须清楚，配送产品必须为全新未拆封产品且渠道合法。</w:t>
      </w:r>
    </w:p>
    <w:p w14:paraId="6E9542FE">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质量保证</w:t>
      </w:r>
    </w:p>
    <w:p w14:paraId="1BD14830">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在产品质保期内，若因产品质量引起的医疗纠纷及医疗事故，由乙方负全部经济责任和法律责任。如果造成损失，由乙方赔偿甲方的全部损失包括直接损失和间接损失。(包括给第三人（病人）造成人身损害、财产损失及其医院支出的相关费用等），该损失甲方如有未向乙方支付的未付款，甲方可以从未付款项中直接扣除。</w:t>
      </w:r>
    </w:p>
    <w:p w14:paraId="07582305">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乙方配送的耗材日期距离其出厂日期不得超过该耗材有效期的三分之一时间段。如过该耗材有效期超过三分之一时间段，甲方拒收或选择退货，由此造成的损失由乙方承担。</w:t>
      </w:r>
    </w:p>
    <w:p w14:paraId="0D7AB354">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3、</w:t>
      </w:r>
      <w:r>
        <w:rPr>
          <w:rFonts w:hint="eastAsia"/>
          <w:sz w:val="24"/>
          <w:szCs w:val="24"/>
          <w:highlight w:val="none"/>
        </w:rPr>
        <w:t>乙方所提供的医用卫生耗材在有效期内出现质量问题，甲方有权利要求乙方退货或换货，退换货时间不超过 72 小时。</w:t>
      </w:r>
    </w:p>
    <w:p w14:paraId="26777EDE">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lang w:val="en-US" w:eastAsia="zh-CN"/>
        </w:rPr>
        <w:t>4、</w:t>
      </w:r>
      <w:r>
        <w:rPr>
          <w:rFonts w:hint="eastAsia"/>
          <w:sz w:val="24"/>
          <w:szCs w:val="24"/>
          <w:highlight w:val="none"/>
        </w:rPr>
        <w:t>乙方承诺所提供的货品必须是符合药监部门质量标准的合格产品，进货渠道正常，并具备正规的产品注册证登记表、生产许可证，配送耗材时须提供配送批次产品的合格证明资料、检测报告、卫生安全评价报告（消毒产品提供）等，满足</w:t>
      </w:r>
      <w:r>
        <w:rPr>
          <w:rFonts w:hint="eastAsia"/>
          <w:sz w:val="24"/>
          <w:szCs w:val="24"/>
          <w:highlight w:val="none"/>
          <w:lang w:eastAsia="zh-CN"/>
        </w:rPr>
        <w:t>谈判文件</w:t>
      </w:r>
      <w:r>
        <w:rPr>
          <w:rFonts w:hint="eastAsia"/>
          <w:sz w:val="24"/>
          <w:szCs w:val="24"/>
          <w:highlight w:val="none"/>
        </w:rPr>
        <w:t>要求对待。</w:t>
      </w:r>
    </w:p>
    <w:p w14:paraId="64CCEECC">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保密</w:t>
      </w:r>
    </w:p>
    <w:p w14:paraId="6640985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对工作中了解到的甲方的技术、机密及不为公众知悉的信息等进行严格保密，不得向他人泄漏。本合同的解除或终止不免除乙方应承担的保密义务。</w:t>
      </w:r>
    </w:p>
    <w:p w14:paraId="5E2ED0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知识产权</w:t>
      </w:r>
    </w:p>
    <w:p w14:paraId="64C449DB">
      <w:pPr>
        <w:numPr>
          <w:ilvl w:val="0"/>
          <w:numId w:val="0"/>
        </w:numPr>
        <w:spacing w:line="360" w:lineRule="auto"/>
        <w:ind w:leftChars="0" w:firstLine="480" w:firstLineChars="200"/>
        <w:rPr>
          <w:rFonts w:hint="eastAsia"/>
          <w:sz w:val="24"/>
          <w:szCs w:val="24"/>
          <w:highlight w:val="none"/>
        </w:rPr>
      </w:pPr>
      <w:r>
        <w:rPr>
          <w:rFonts w:hint="eastAsia"/>
          <w:sz w:val="24"/>
          <w:szCs w:val="24"/>
          <w:highlight w:val="none"/>
        </w:rPr>
        <w:t>乙方应对所供产品具有或已取得合法知识产权，乙方应保证所供产品及服务不会出现因第三方提出侵犯其专利权、商标权或其它知识产权而引发法律或经济纠纷。</w:t>
      </w:r>
    </w:p>
    <w:p w14:paraId="29482899">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甲方的权利和义务</w:t>
      </w:r>
    </w:p>
    <w:p w14:paraId="47705B09">
      <w:pPr>
        <w:numPr>
          <w:ilvl w:val="0"/>
          <w:numId w:val="3"/>
        </w:numPr>
        <w:spacing w:line="360" w:lineRule="auto"/>
        <w:ind w:leftChars="0" w:firstLine="480" w:firstLineChars="200"/>
        <w:rPr>
          <w:rFonts w:hint="eastAsia"/>
          <w:sz w:val="24"/>
          <w:szCs w:val="24"/>
          <w:highlight w:val="none"/>
        </w:rPr>
      </w:pPr>
      <w:r>
        <w:rPr>
          <w:rFonts w:hint="eastAsia"/>
          <w:sz w:val="24"/>
          <w:szCs w:val="24"/>
          <w:highlight w:val="none"/>
        </w:rPr>
        <w:t>甲方有权对合同规定范围内乙方的货物、服务行为进行监督和检查，拥有监管权。有权定期核对乙方提供货物、服务所配备的数量。对甲方认为不合理的部分有权下达整改通知书，并要求乙方限期整改。</w:t>
      </w:r>
    </w:p>
    <w:p w14:paraId="6650C77C">
      <w:pPr>
        <w:numPr>
          <w:ilvl w:val="0"/>
          <w:numId w:val="3"/>
        </w:numPr>
        <w:spacing w:line="360" w:lineRule="auto"/>
        <w:ind w:left="0" w:leftChars="0" w:firstLine="480" w:firstLineChars="200"/>
        <w:rPr>
          <w:rFonts w:hint="eastAsia"/>
          <w:sz w:val="24"/>
          <w:szCs w:val="24"/>
          <w:highlight w:val="none"/>
        </w:rPr>
      </w:pPr>
      <w:r>
        <w:rPr>
          <w:rFonts w:hint="eastAsia"/>
          <w:sz w:val="24"/>
          <w:szCs w:val="24"/>
          <w:highlight w:val="none"/>
        </w:rPr>
        <w:t>甲方有权依据双方签订的考评办法对乙方提供的货物、服务、工程进行定期考评。当考评结果未达到标准时，有权依据考评办法约定的数额扣除。</w:t>
      </w:r>
    </w:p>
    <w:p w14:paraId="4E3941CD">
      <w:pPr>
        <w:numPr>
          <w:ilvl w:val="0"/>
          <w:numId w:val="3"/>
        </w:numPr>
        <w:spacing w:line="360" w:lineRule="auto"/>
        <w:ind w:left="0" w:leftChars="0" w:firstLine="480" w:firstLineChars="200"/>
        <w:rPr>
          <w:rFonts w:hint="eastAsia"/>
          <w:sz w:val="24"/>
          <w:szCs w:val="24"/>
          <w:highlight w:val="none"/>
        </w:rPr>
      </w:pPr>
      <w:r>
        <w:rPr>
          <w:rFonts w:hint="eastAsia"/>
          <w:sz w:val="24"/>
          <w:szCs w:val="24"/>
          <w:highlight w:val="none"/>
        </w:rPr>
        <w:t>负责检查监督乙方管理工作的实施及制度的执行情况。</w:t>
      </w:r>
    </w:p>
    <w:p w14:paraId="56FD4196">
      <w:pPr>
        <w:numPr>
          <w:ilvl w:val="0"/>
          <w:numId w:val="3"/>
        </w:numPr>
        <w:spacing w:line="360" w:lineRule="auto"/>
        <w:ind w:left="0" w:leftChars="0" w:firstLine="480" w:firstLineChars="200"/>
        <w:rPr>
          <w:rFonts w:hint="eastAsia"/>
          <w:sz w:val="24"/>
          <w:szCs w:val="24"/>
          <w:highlight w:val="none"/>
        </w:rPr>
      </w:pPr>
      <w:r>
        <w:rPr>
          <w:rFonts w:hint="eastAsia"/>
          <w:sz w:val="24"/>
          <w:szCs w:val="24"/>
          <w:highlight w:val="none"/>
        </w:rPr>
        <w:t>根据本合同规定，按时向乙方支付应付费用。</w:t>
      </w:r>
    </w:p>
    <w:p w14:paraId="79DC615A">
      <w:pPr>
        <w:numPr>
          <w:ilvl w:val="0"/>
          <w:numId w:val="3"/>
        </w:numPr>
        <w:spacing w:line="360" w:lineRule="auto"/>
        <w:ind w:left="0" w:leftChars="0" w:firstLine="480" w:firstLineChars="200"/>
        <w:rPr>
          <w:sz w:val="24"/>
          <w:szCs w:val="24"/>
          <w:highlight w:val="none"/>
        </w:rPr>
      </w:pPr>
      <w:r>
        <w:rPr>
          <w:rFonts w:hint="eastAsia"/>
          <w:sz w:val="24"/>
          <w:szCs w:val="24"/>
          <w:highlight w:val="none"/>
        </w:rPr>
        <w:t>国家法律、法规所规定由甲方承担的其它责任。</w:t>
      </w:r>
    </w:p>
    <w:p w14:paraId="009B5595">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乙方的权利和义务</w:t>
      </w:r>
    </w:p>
    <w:p w14:paraId="771D4BA6">
      <w:pPr>
        <w:numPr>
          <w:ilvl w:val="0"/>
          <w:numId w:val="4"/>
        </w:numPr>
        <w:spacing w:line="360" w:lineRule="auto"/>
        <w:ind w:leftChars="0" w:firstLine="480" w:firstLineChars="200"/>
        <w:rPr>
          <w:rFonts w:hint="eastAsia"/>
          <w:sz w:val="24"/>
          <w:szCs w:val="24"/>
          <w:highlight w:val="none"/>
        </w:rPr>
      </w:pPr>
      <w:r>
        <w:rPr>
          <w:rFonts w:hint="eastAsia"/>
          <w:sz w:val="24"/>
          <w:szCs w:val="24"/>
          <w:highlight w:val="none"/>
        </w:rPr>
        <w:t>对本合同规定的委托范围内的项目享有管理权及服务义务。</w:t>
      </w:r>
    </w:p>
    <w:p w14:paraId="49B33488">
      <w:pPr>
        <w:numPr>
          <w:ilvl w:val="0"/>
          <w:numId w:val="4"/>
        </w:numPr>
        <w:spacing w:line="360" w:lineRule="auto"/>
        <w:ind w:leftChars="0" w:firstLine="480" w:firstLineChars="200"/>
        <w:rPr>
          <w:sz w:val="24"/>
          <w:szCs w:val="24"/>
          <w:highlight w:val="none"/>
        </w:rPr>
      </w:pPr>
      <w:r>
        <w:rPr>
          <w:rFonts w:hint="eastAsia"/>
          <w:sz w:val="24"/>
          <w:szCs w:val="24"/>
          <w:highlight w:val="none"/>
        </w:rPr>
        <w:t>根据本合同的规定向甲方收取相关服务费用，并有权在本项目管理范围内管理及合理使用。</w:t>
      </w:r>
    </w:p>
    <w:p w14:paraId="1BA3D5FD">
      <w:pPr>
        <w:numPr>
          <w:ilvl w:val="0"/>
          <w:numId w:val="4"/>
        </w:numPr>
        <w:spacing w:line="360" w:lineRule="auto"/>
        <w:ind w:leftChars="0" w:firstLine="480" w:firstLineChars="200"/>
        <w:rPr>
          <w:sz w:val="24"/>
          <w:szCs w:val="24"/>
          <w:highlight w:val="none"/>
        </w:rPr>
      </w:pPr>
      <w:r>
        <w:rPr>
          <w:rFonts w:hint="eastAsia"/>
          <w:sz w:val="24"/>
          <w:szCs w:val="24"/>
          <w:highlight w:val="none"/>
        </w:rPr>
        <w:t>及时向甲方通告本项目执行范围内有关的重大事项，及时配合处理投诉。</w:t>
      </w:r>
    </w:p>
    <w:p w14:paraId="313E3528">
      <w:pPr>
        <w:numPr>
          <w:ilvl w:val="0"/>
          <w:numId w:val="4"/>
        </w:numPr>
        <w:spacing w:line="360" w:lineRule="auto"/>
        <w:ind w:leftChars="0" w:firstLine="480" w:firstLineChars="200"/>
        <w:rPr>
          <w:sz w:val="24"/>
          <w:szCs w:val="24"/>
          <w:highlight w:val="none"/>
        </w:rPr>
      </w:pPr>
      <w:r>
        <w:rPr>
          <w:rFonts w:hint="eastAsia"/>
          <w:sz w:val="24"/>
          <w:szCs w:val="24"/>
          <w:highlight w:val="none"/>
        </w:rPr>
        <w:t>接受项目行业管理部门及政府有关部门的指导，接受甲方的监督。</w:t>
      </w:r>
    </w:p>
    <w:p w14:paraId="10BBF01C">
      <w:pPr>
        <w:numPr>
          <w:ilvl w:val="0"/>
          <w:numId w:val="4"/>
        </w:numPr>
        <w:spacing w:line="360" w:lineRule="auto"/>
        <w:ind w:leftChars="0" w:firstLine="480" w:firstLineChars="200"/>
        <w:rPr>
          <w:sz w:val="24"/>
          <w:szCs w:val="24"/>
          <w:highlight w:val="none"/>
        </w:rPr>
      </w:pPr>
      <w:r>
        <w:rPr>
          <w:rFonts w:hint="eastAsia"/>
          <w:sz w:val="24"/>
          <w:szCs w:val="24"/>
          <w:highlight w:val="none"/>
        </w:rPr>
        <w:t>国家法律、法规所规定由乙方承担的其它责任。</w:t>
      </w:r>
    </w:p>
    <w:p w14:paraId="5C5FCD36">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不可抗力事件处理</w:t>
      </w:r>
    </w:p>
    <w:p w14:paraId="41E2E1AD">
      <w:pPr>
        <w:numPr>
          <w:ilvl w:val="0"/>
          <w:numId w:val="5"/>
        </w:numPr>
        <w:spacing w:line="360" w:lineRule="auto"/>
        <w:ind w:leftChars="0" w:firstLine="480" w:firstLineChars="200"/>
        <w:rPr>
          <w:rFonts w:hint="eastAsia"/>
          <w:sz w:val="24"/>
          <w:szCs w:val="24"/>
          <w:highlight w:val="none"/>
        </w:rPr>
      </w:pPr>
      <w:r>
        <w:rPr>
          <w:rFonts w:hint="eastAsia"/>
          <w:sz w:val="24"/>
          <w:szCs w:val="24"/>
          <w:highlight w:val="none"/>
        </w:rPr>
        <w:t>因不可抗力造成违约的，遭受不可抗力一方应及时向对方通报不能履行或不能完全履行的理由，并在随后取得有关权威机构出具的证明后的 15 日内向另一方提供不可抗力发生以及持续期间的充分证据。基本于以上行为，允许遭受不可抗力一方延期履行、部分履行或者不履行合同，并根据情况可部分或全部免于承担违约责任。</w:t>
      </w:r>
    </w:p>
    <w:p w14:paraId="26DBC5DA">
      <w:pPr>
        <w:numPr>
          <w:ilvl w:val="0"/>
          <w:numId w:val="5"/>
        </w:numPr>
        <w:spacing w:line="360" w:lineRule="auto"/>
        <w:ind w:leftChars="0" w:firstLine="480" w:firstLineChars="200"/>
        <w:rPr>
          <w:sz w:val="24"/>
          <w:szCs w:val="24"/>
          <w:highlight w:val="none"/>
        </w:rPr>
      </w:pPr>
      <w:r>
        <w:rPr>
          <w:rFonts w:hint="eastAsia"/>
          <w:sz w:val="24"/>
          <w:szCs w:val="24"/>
          <w:highlight w:val="none"/>
        </w:rPr>
        <w:t>本合同中的不可抗力指不能预见、不能避免并不能克服的客观情况。包括但不限于：自然灾害如地震、台风、洪水、火灾；政府行为、法律规定或其适用的变化或者其他任何无法预见、避免或者控制的事件。</w:t>
      </w:r>
    </w:p>
    <w:p w14:paraId="4575B627">
      <w:pPr>
        <w:numPr>
          <w:ilvl w:val="0"/>
          <w:numId w:val="1"/>
        </w:numPr>
        <w:spacing w:line="360" w:lineRule="auto"/>
        <w:ind w:left="0" w:leftChars="0" w:firstLine="0" w:firstLineChars="0"/>
        <w:rPr>
          <w:rFonts w:hint="eastAsia"/>
          <w:sz w:val="24"/>
          <w:szCs w:val="24"/>
          <w:highlight w:val="none"/>
        </w:rPr>
      </w:pPr>
      <w:r>
        <w:rPr>
          <w:rFonts w:hint="eastAsia"/>
          <w:sz w:val="24"/>
          <w:szCs w:val="24"/>
          <w:highlight w:val="none"/>
        </w:rPr>
        <w:t>违约责任</w:t>
      </w:r>
    </w:p>
    <w:p w14:paraId="2B457004">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1、</w:t>
      </w:r>
      <w:r>
        <w:rPr>
          <w:rFonts w:hint="eastAsia"/>
          <w:sz w:val="24"/>
          <w:szCs w:val="24"/>
          <w:highlight w:val="none"/>
        </w:rPr>
        <w:t>乙方应按照合同规定的期限完成供货及安装、调试、验收，若不能按期完成，情节严重的采购人有权解除合同，同时乙方应承担不低于合同价款 30%的违约金，对采购人造成其他损失的应一并赔偿。</w:t>
      </w:r>
    </w:p>
    <w:p w14:paraId="745B2D8D">
      <w:pPr>
        <w:numPr>
          <w:ilvl w:val="0"/>
          <w:numId w:val="0"/>
        </w:numPr>
        <w:spacing w:line="360" w:lineRule="auto"/>
        <w:ind w:firstLine="480" w:firstLineChars="200"/>
        <w:rPr>
          <w:rFonts w:hint="eastAsia"/>
          <w:sz w:val="24"/>
          <w:szCs w:val="24"/>
          <w:highlight w:val="none"/>
        </w:rPr>
      </w:pPr>
      <w:r>
        <w:rPr>
          <w:rFonts w:hint="eastAsia"/>
          <w:sz w:val="24"/>
          <w:szCs w:val="24"/>
          <w:highlight w:val="none"/>
          <w:lang w:val="en-US" w:eastAsia="zh-CN"/>
        </w:rPr>
        <w:t>2、</w:t>
      </w:r>
      <w:r>
        <w:rPr>
          <w:rFonts w:hint="eastAsia"/>
          <w:sz w:val="24"/>
          <w:szCs w:val="24"/>
          <w:highlight w:val="none"/>
        </w:rPr>
        <w:t>双方中任何一方违反本合同保密条款的，应当向对方支付不低于合同价款10%违约金，该违约金不足以弥补对方损失的，还应承担赔偿责任。</w:t>
      </w:r>
    </w:p>
    <w:p w14:paraId="251390C4">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sz w:val="24"/>
          <w:szCs w:val="24"/>
          <w:highlight w:val="none"/>
          <w:lang w:val="en-US" w:eastAsia="zh-CN"/>
        </w:rPr>
        <w:t>3、</w:t>
      </w:r>
      <w:r>
        <w:rPr>
          <w:rFonts w:hint="eastAsia" w:ascii="Times New Roman" w:hAnsi="Times New Roman" w:eastAsia="宋体" w:cs="Times New Roman"/>
          <w:b w:val="0"/>
          <w:kern w:val="2"/>
          <w:sz w:val="24"/>
          <w:szCs w:val="24"/>
          <w:highlight w:val="none"/>
          <w:lang w:val="en-US" w:eastAsia="zh-CN" w:bidi="ar-SA"/>
        </w:rPr>
        <w:t>乙方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乙方承担全部责任，乙方还应向采购人承担合同总价款1%的违约金，违约金不足以弥补给采购人造成的损失的，供应商还应当承担补足责任。</w:t>
      </w:r>
    </w:p>
    <w:p w14:paraId="2EFA99CC">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4、</w:t>
      </w:r>
      <w:r>
        <w:rPr>
          <w:rFonts w:hint="eastAsia" w:ascii="Times New Roman" w:hAnsi="Times New Roman" w:eastAsia="宋体" w:cs="Times New Roman"/>
          <w:b w:val="0"/>
          <w:kern w:val="2"/>
          <w:sz w:val="24"/>
          <w:szCs w:val="24"/>
          <w:highlight w:val="none"/>
          <w:lang w:val="en-US" w:eastAsia="zh-CN" w:bidi="ar-SA"/>
        </w:rPr>
        <w:t>合同成立后，在任何一方无实质违约的情况下，未经相对方书面允许，任何一方不得单方撤销、中止、终止履行合同。</w:t>
      </w:r>
    </w:p>
    <w:p w14:paraId="444960A8">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cs="Times New Roman"/>
          <w:b w:val="0"/>
          <w:kern w:val="2"/>
          <w:sz w:val="24"/>
          <w:szCs w:val="24"/>
          <w:highlight w:val="none"/>
          <w:lang w:val="en-US" w:eastAsia="zh-CN" w:bidi="ar-SA"/>
        </w:rPr>
        <w:t>5、</w:t>
      </w:r>
      <w:r>
        <w:rPr>
          <w:rFonts w:hint="eastAsia" w:ascii="Times New Roman" w:hAnsi="Times New Roman" w:eastAsia="宋体" w:cs="Times New Roman"/>
          <w:b w:val="0"/>
          <w:kern w:val="2"/>
          <w:sz w:val="24"/>
          <w:szCs w:val="24"/>
          <w:highlight w:val="none"/>
          <w:lang w:val="en-US" w:eastAsia="zh-CN" w:bidi="ar-SA"/>
        </w:rPr>
        <w:t>合同争议的解决</w:t>
      </w:r>
    </w:p>
    <w:p w14:paraId="27C78FD8">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合同执行中发生争议的，当事人双方应协商解决。协商达不成一致时，可向当地行政仲裁机关申请仲裁或者向人民法院提请诉讼。</w:t>
      </w:r>
    </w:p>
    <w:p w14:paraId="6E3CBB00">
      <w:pPr>
        <w:numPr>
          <w:ilvl w:val="0"/>
          <w:numId w:val="4"/>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合同生效及其它</w:t>
      </w:r>
    </w:p>
    <w:p w14:paraId="31150F32">
      <w:pPr>
        <w:numPr>
          <w:ilvl w:val="0"/>
          <w:numId w:val="0"/>
        </w:numPr>
        <w:spacing w:line="360" w:lineRule="auto"/>
        <w:ind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合同未尽事宜、由甲、乙双方协商，作为合同补充，与原合同具有同等法律效力。</w:t>
      </w:r>
    </w:p>
    <w:p w14:paraId="707C68CF">
      <w:pPr>
        <w:numPr>
          <w:ilvl w:val="0"/>
          <w:numId w:val="4"/>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本合同一式</w:t>
      </w:r>
      <w:r>
        <w:rPr>
          <w:rFonts w:hint="eastAsia" w:ascii="Times New Roman" w:hAnsi="Times New Roman" w:eastAsia="宋体" w:cs="Times New Roman"/>
          <w:b w:val="0"/>
          <w:kern w:val="2"/>
          <w:sz w:val="24"/>
          <w:szCs w:val="24"/>
          <w:highlight w:val="none"/>
          <w:u w:val="single"/>
          <w:lang w:val="en-US" w:eastAsia="zh-CN" w:bidi="ar-SA"/>
        </w:rPr>
        <w:t xml:space="preserve">   </w:t>
      </w:r>
      <w:r>
        <w:rPr>
          <w:rFonts w:hint="eastAsia" w:cs="Times New Roman"/>
          <w:b w:val="0"/>
          <w:kern w:val="2"/>
          <w:sz w:val="24"/>
          <w:szCs w:val="24"/>
          <w:highlight w:val="none"/>
          <w:u w:val="single"/>
          <w:lang w:val="en-US" w:eastAsia="zh-CN" w:bidi="ar-SA"/>
        </w:rPr>
        <w:t xml:space="preserve"> </w:t>
      </w:r>
      <w:r>
        <w:rPr>
          <w:rFonts w:hint="eastAsia" w:ascii="Times New Roman" w:hAnsi="Times New Roman" w:eastAsia="宋体" w:cs="Times New Roman"/>
          <w:b w:val="0"/>
          <w:kern w:val="2"/>
          <w:sz w:val="24"/>
          <w:szCs w:val="24"/>
          <w:highlight w:val="none"/>
          <w:u w:val="single"/>
          <w:lang w:val="en-US" w:eastAsia="zh-CN" w:bidi="ar-SA"/>
        </w:rPr>
        <w:t xml:space="preserve"> </w:t>
      </w:r>
      <w:r>
        <w:rPr>
          <w:rFonts w:hint="eastAsia" w:ascii="Times New Roman" w:hAnsi="Times New Roman" w:eastAsia="宋体" w:cs="Times New Roman"/>
          <w:b w:val="0"/>
          <w:kern w:val="2"/>
          <w:sz w:val="24"/>
          <w:szCs w:val="24"/>
          <w:highlight w:val="none"/>
          <w:lang w:val="en-US" w:eastAsia="zh-CN" w:bidi="ar-SA"/>
        </w:rPr>
        <w:t>份，甲方执</w:t>
      </w:r>
      <w:r>
        <w:rPr>
          <w:rFonts w:hint="eastAsia" w:cs="Times New Roman"/>
          <w:b w:val="0"/>
          <w:kern w:val="2"/>
          <w:sz w:val="24"/>
          <w:szCs w:val="24"/>
          <w:highlight w:val="none"/>
          <w:u w:val="single"/>
          <w:lang w:val="en-US" w:eastAsia="zh-CN" w:bidi="ar-SA"/>
        </w:rPr>
        <w:t xml:space="preserve">     </w:t>
      </w:r>
      <w:r>
        <w:rPr>
          <w:rFonts w:hint="eastAsia" w:ascii="Times New Roman" w:hAnsi="Times New Roman" w:eastAsia="宋体" w:cs="Times New Roman"/>
          <w:b w:val="0"/>
          <w:kern w:val="2"/>
          <w:sz w:val="24"/>
          <w:szCs w:val="24"/>
          <w:highlight w:val="none"/>
          <w:lang w:val="en-US" w:eastAsia="zh-CN" w:bidi="ar-SA"/>
        </w:rPr>
        <w:t>份</w:t>
      </w:r>
      <w:r>
        <w:rPr>
          <w:rFonts w:hint="eastAsia" w:cs="Times New Roman"/>
          <w:b w:val="0"/>
          <w:kern w:val="2"/>
          <w:sz w:val="24"/>
          <w:szCs w:val="24"/>
          <w:highlight w:val="none"/>
          <w:lang w:val="en-US" w:eastAsia="zh-CN" w:bidi="ar-SA"/>
        </w:rPr>
        <w:t>，</w:t>
      </w:r>
      <w:r>
        <w:rPr>
          <w:rFonts w:hint="eastAsia" w:ascii="Times New Roman" w:hAnsi="Times New Roman" w:eastAsia="宋体" w:cs="Times New Roman"/>
          <w:b w:val="0"/>
          <w:kern w:val="2"/>
          <w:sz w:val="24"/>
          <w:szCs w:val="24"/>
          <w:highlight w:val="none"/>
          <w:lang w:val="en-US" w:eastAsia="zh-CN" w:bidi="ar-SA"/>
        </w:rPr>
        <w:t>乙方执</w:t>
      </w:r>
      <w:r>
        <w:rPr>
          <w:rFonts w:hint="eastAsia" w:cs="Times New Roman"/>
          <w:b w:val="0"/>
          <w:kern w:val="2"/>
          <w:sz w:val="24"/>
          <w:szCs w:val="24"/>
          <w:highlight w:val="none"/>
          <w:u w:val="single"/>
          <w:lang w:val="en-US" w:eastAsia="zh-CN" w:bidi="ar-SA"/>
        </w:rPr>
        <w:t xml:space="preserve">     </w:t>
      </w:r>
      <w:r>
        <w:rPr>
          <w:rFonts w:hint="eastAsia" w:ascii="Times New Roman" w:hAnsi="Times New Roman" w:eastAsia="宋体" w:cs="Times New Roman"/>
          <w:b w:val="0"/>
          <w:kern w:val="2"/>
          <w:sz w:val="24"/>
          <w:szCs w:val="24"/>
          <w:highlight w:val="none"/>
          <w:lang w:val="en-US" w:eastAsia="zh-CN" w:bidi="ar-SA"/>
        </w:rPr>
        <w:t>份，均以中文书写，在双方代表签字盖章后生效。</w:t>
      </w:r>
    </w:p>
    <w:p w14:paraId="647DC820">
      <w:pPr>
        <w:numPr>
          <w:ilvl w:val="0"/>
          <w:numId w:val="4"/>
        </w:numPr>
        <w:spacing w:line="360" w:lineRule="auto"/>
        <w:ind w:left="0" w:leftChars="0" w:firstLine="480" w:firstLineChars="200"/>
        <w:rPr>
          <w:rFonts w:hint="eastAsia" w:ascii="Times New Roman" w:hAnsi="Times New Roman" w:eastAsia="宋体" w:cs="Times New Roman"/>
          <w:b w:val="0"/>
          <w:kern w:val="2"/>
          <w:sz w:val="24"/>
          <w:szCs w:val="24"/>
          <w:highlight w:val="none"/>
          <w:lang w:val="en-US" w:eastAsia="zh-CN" w:bidi="ar-SA"/>
        </w:rPr>
      </w:pPr>
      <w:r>
        <w:rPr>
          <w:rFonts w:hint="eastAsia" w:ascii="Times New Roman" w:hAnsi="Times New Roman" w:eastAsia="宋体" w:cs="Times New Roman"/>
          <w:b w:val="0"/>
          <w:kern w:val="2"/>
          <w:sz w:val="24"/>
          <w:szCs w:val="24"/>
          <w:highlight w:val="none"/>
          <w:lang w:val="en-US" w:eastAsia="zh-CN" w:bidi="ar-SA"/>
        </w:rPr>
        <w:t>本合同自双方签字盖章之日起生效。</w:t>
      </w:r>
    </w:p>
    <w:bookmarkEnd w:id="0"/>
    <w:bookmarkEnd w:id="1"/>
    <w:bookmarkEnd w:id="2"/>
    <w:tbl>
      <w:tblPr>
        <w:tblStyle w:val="4"/>
        <w:tblW w:w="8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8"/>
        <w:gridCol w:w="3714"/>
      </w:tblGrid>
      <w:tr w14:paraId="60B4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41" w:hRule="atLeast"/>
          <w:jc w:val="center"/>
        </w:trPr>
        <w:tc>
          <w:tcPr>
            <w:tcW w:w="4428" w:type="dxa"/>
            <w:noWrap w:val="0"/>
            <w:vAlign w:val="top"/>
          </w:tcPr>
          <w:p w14:paraId="77847374">
            <w:pPr>
              <w:pStyle w:val="2"/>
              <w:numPr>
                <w:numId w:val="0"/>
              </w:numPr>
              <w:bidi w:val="0"/>
              <w:jc w:val="both"/>
              <w:rPr>
                <w:rFonts w:hint="eastAsia" w:ascii="宋体" w:hAnsi="宋体" w:eastAsia="宋体" w:cs="宋体"/>
                <w:b w:val="0"/>
                <w:kern w:val="2"/>
                <w:sz w:val="24"/>
                <w:szCs w:val="24"/>
                <w:highlight w:val="none"/>
                <w:lang w:val="en-US" w:eastAsia="zh-CN" w:bidi="ar-SA"/>
              </w:rPr>
            </w:pPr>
            <w:bookmarkStart w:id="3" w:name="_GoBack"/>
            <w:bookmarkEnd w:id="3"/>
            <w:r>
              <w:rPr>
                <w:rFonts w:hint="eastAsia" w:ascii="宋体" w:hAnsi="宋体" w:eastAsia="宋体" w:cs="宋体"/>
                <w:b w:val="0"/>
                <w:kern w:val="2"/>
                <w:sz w:val="24"/>
                <w:szCs w:val="24"/>
                <w:highlight w:val="none"/>
                <w:lang w:val="en-US" w:eastAsia="zh-CN" w:bidi="ar-SA"/>
              </w:rPr>
              <w:t>甲  方</w:t>
            </w:r>
          </w:p>
        </w:tc>
        <w:tc>
          <w:tcPr>
            <w:tcW w:w="3714" w:type="dxa"/>
            <w:noWrap w:val="0"/>
            <w:vAlign w:val="top"/>
          </w:tcPr>
          <w:p w14:paraId="1D1B066D">
            <w:pPr>
              <w:pStyle w:val="2"/>
              <w:numPr>
                <w:numId w:val="0"/>
              </w:numPr>
              <w:bidi w:val="0"/>
              <w:jc w:val="both"/>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乙  方</w:t>
            </w:r>
          </w:p>
        </w:tc>
      </w:tr>
      <w:tr w14:paraId="0A0D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428" w:type="dxa"/>
            <w:noWrap w:val="0"/>
            <w:vAlign w:val="center"/>
          </w:tcPr>
          <w:p w14:paraId="77037FF3">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（盖章）</w:t>
            </w:r>
          </w:p>
        </w:tc>
        <w:tc>
          <w:tcPr>
            <w:tcW w:w="3714" w:type="dxa"/>
            <w:noWrap w:val="0"/>
            <w:vAlign w:val="center"/>
          </w:tcPr>
          <w:p w14:paraId="7243EEF7">
            <w:pPr>
              <w:spacing w:line="360" w:lineRule="exact"/>
              <w:jc w:val="both"/>
              <w:rPr>
                <w:rFonts w:hint="eastAsia" w:ascii="宋体" w:hAnsi="宋体" w:eastAsia="宋体" w:cs="宋体"/>
                <w:sz w:val="24"/>
                <w:highlight w:val="none"/>
              </w:rPr>
            </w:pPr>
            <w:r>
              <w:rPr>
                <w:rFonts w:hint="eastAsia" w:ascii="宋体" w:hAnsi="宋体" w:eastAsia="宋体" w:cs="宋体"/>
                <w:sz w:val="24"/>
                <w:highlight w:val="none"/>
              </w:rPr>
              <w:t>中标供应商全称（盖章）</w:t>
            </w:r>
          </w:p>
        </w:tc>
      </w:tr>
      <w:tr w14:paraId="2E75F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6418326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地址： </w:t>
            </w:r>
          </w:p>
        </w:tc>
        <w:tc>
          <w:tcPr>
            <w:tcW w:w="3714" w:type="dxa"/>
            <w:noWrap w:val="0"/>
            <w:vAlign w:val="top"/>
          </w:tcPr>
          <w:p w14:paraId="2628CE25">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地址：</w:t>
            </w:r>
          </w:p>
        </w:tc>
      </w:tr>
      <w:tr w14:paraId="2CED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6C2B2A2E">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c>
          <w:tcPr>
            <w:tcW w:w="3714" w:type="dxa"/>
            <w:noWrap w:val="0"/>
            <w:vAlign w:val="top"/>
          </w:tcPr>
          <w:p w14:paraId="724692E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邮编：</w:t>
            </w:r>
          </w:p>
        </w:tc>
      </w:tr>
      <w:tr w14:paraId="148A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59DB2D1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 xml:space="preserve">法定代表人： </w:t>
            </w:r>
          </w:p>
        </w:tc>
        <w:tc>
          <w:tcPr>
            <w:tcW w:w="3714" w:type="dxa"/>
            <w:noWrap w:val="0"/>
            <w:vAlign w:val="top"/>
          </w:tcPr>
          <w:p w14:paraId="4D866968">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法定代表人：</w:t>
            </w:r>
          </w:p>
        </w:tc>
      </w:tr>
      <w:tr w14:paraId="2B971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67A0B5AA">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c>
          <w:tcPr>
            <w:tcW w:w="3714" w:type="dxa"/>
            <w:noWrap w:val="0"/>
            <w:vAlign w:val="top"/>
          </w:tcPr>
          <w:p w14:paraId="4BCBD0A0">
            <w:pPr>
              <w:spacing w:line="360" w:lineRule="exact"/>
              <w:rPr>
                <w:rFonts w:hint="eastAsia" w:ascii="宋体" w:hAnsi="宋体" w:eastAsia="宋体" w:cs="宋体"/>
                <w:sz w:val="24"/>
                <w:highlight w:val="none"/>
              </w:rPr>
            </w:pPr>
            <w:r>
              <w:rPr>
                <w:rFonts w:hint="eastAsia" w:ascii="宋体" w:hAnsi="宋体" w:eastAsia="宋体" w:cs="宋体"/>
                <w:sz w:val="24"/>
                <w:highlight w:val="none"/>
              </w:rPr>
              <w:t>被授权代表：（签字）</w:t>
            </w:r>
          </w:p>
        </w:tc>
      </w:tr>
      <w:tr w14:paraId="27BCD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26D5C4D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3714" w:type="dxa"/>
            <w:noWrap w:val="0"/>
            <w:vAlign w:val="top"/>
          </w:tcPr>
          <w:p w14:paraId="20BDDF07">
            <w:pPr>
              <w:spacing w:line="360" w:lineRule="exact"/>
              <w:rPr>
                <w:rFonts w:hint="eastAsia" w:ascii="宋体" w:hAnsi="宋体" w:eastAsia="宋体" w:cs="宋体"/>
                <w:sz w:val="24"/>
                <w:highlight w:val="none"/>
              </w:rPr>
            </w:pPr>
            <w:r>
              <w:rPr>
                <w:rFonts w:hint="eastAsia" w:ascii="宋体" w:hAnsi="宋体" w:eastAsia="宋体" w:cs="宋体"/>
                <w:sz w:val="24"/>
                <w:highlight w:val="none"/>
              </w:rPr>
              <w:t>电话：</w:t>
            </w:r>
          </w:p>
        </w:tc>
      </w:tr>
      <w:tr w14:paraId="70F99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2FA499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c>
          <w:tcPr>
            <w:tcW w:w="3714" w:type="dxa"/>
            <w:noWrap w:val="0"/>
            <w:vAlign w:val="top"/>
          </w:tcPr>
          <w:p w14:paraId="13A8C2CC">
            <w:pPr>
              <w:spacing w:line="360" w:lineRule="exact"/>
              <w:rPr>
                <w:rFonts w:hint="eastAsia" w:ascii="宋体" w:hAnsi="宋体" w:eastAsia="宋体" w:cs="宋体"/>
                <w:sz w:val="24"/>
                <w:highlight w:val="none"/>
              </w:rPr>
            </w:pPr>
            <w:r>
              <w:rPr>
                <w:rFonts w:hint="eastAsia" w:ascii="宋体" w:hAnsi="宋体" w:eastAsia="宋体" w:cs="宋体"/>
                <w:sz w:val="24"/>
                <w:highlight w:val="none"/>
              </w:rPr>
              <w:t>传真：</w:t>
            </w:r>
          </w:p>
        </w:tc>
      </w:tr>
      <w:tr w14:paraId="5160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55D6EC92">
            <w:pPr>
              <w:spacing w:line="360" w:lineRule="exact"/>
              <w:rPr>
                <w:rFonts w:hint="eastAsia" w:ascii="宋体" w:hAnsi="宋体" w:eastAsia="宋体" w:cs="宋体"/>
                <w:sz w:val="24"/>
                <w:highlight w:val="none"/>
              </w:rPr>
            </w:pPr>
          </w:p>
        </w:tc>
        <w:tc>
          <w:tcPr>
            <w:tcW w:w="3714" w:type="dxa"/>
            <w:noWrap w:val="0"/>
            <w:vAlign w:val="top"/>
          </w:tcPr>
          <w:p w14:paraId="3D173359">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开户银行：</w:t>
            </w:r>
          </w:p>
        </w:tc>
      </w:tr>
      <w:tr w14:paraId="71344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28" w:type="dxa"/>
            <w:noWrap w:val="0"/>
            <w:vAlign w:val="top"/>
          </w:tcPr>
          <w:p w14:paraId="113972DB">
            <w:pPr>
              <w:spacing w:line="360" w:lineRule="exact"/>
              <w:rPr>
                <w:rFonts w:hint="eastAsia" w:ascii="宋体" w:hAnsi="宋体" w:eastAsia="宋体" w:cs="宋体"/>
                <w:sz w:val="24"/>
                <w:highlight w:val="none"/>
              </w:rPr>
            </w:pPr>
          </w:p>
        </w:tc>
        <w:tc>
          <w:tcPr>
            <w:tcW w:w="3714" w:type="dxa"/>
            <w:noWrap w:val="0"/>
            <w:vAlign w:val="top"/>
          </w:tcPr>
          <w:p w14:paraId="4EC27D66">
            <w:pPr>
              <w:spacing w:line="360" w:lineRule="exact"/>
              <w:rPr>
                <w:rFonts w:hint="eastAsia" w:ascii="宋体" w:hAnsi="宋体" w:eastAsia="宋体" w:cs="宋体"/>
                <w:sz w:val="24"/>
                <w:highlight w:val="none"/>
              </w:rPr>
            </w:pPr>
            <w:r>
              <w:rPr>
                <w:rFonts w:hint="eastAsia" w:ascii="宋体" w:hAnsi="宋体" w:eastAsia="宋体" w:cs="宋体"/>
                <w:sz w:val="24"/>
                <w:highlight w:val="none"/>
              </w:rPr>
              <w:t>帐号：</w:t>
            </w:r>
          </w:p>
        </w:tc>
      </w:tr>
      <w:tr w14:paraId="68968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4428" w:type="dxa"/>
            <w:noWrap w:val="0"/>
            <w:vAlign w:val="top"/>
          </w:tcPr>
          <w:p w14:paraId="4BCF08C2">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c>
          <w:tcPr>
            <w:tcW w:w="3714" w:type="dxa"/>
            <w:noWrap w:val="0"/>
            <w:vAlign w:val="top"/>
          </w:tcPr>
          <w:p w14:paraId="7AAC23AF">
            <w:pPr>
              <w:spacing w:line="360" w:lineRule="exact"/>
              <w:rPr>
                <w:rFonts w:hint="eastAsia" w:ascii="宋体" w:hAnsi="宋体" w:eastAsia="宋体" w:cs="宋体"/>
                <w:sz w:val="24"/>
                <w:highlight w:val="none"/>
              </w:rPr>
            </w:pPr>
            <w:r>
              <w:rPr>
                <w:rFonts w:hint="eastAsia" w:ascii="宋体" w:hAnsi="宋体" w:eastAsia="宋体" w:cs="宋体"/>
                <w:sz w:val="24"/>
                <w:highlight w:val="none"/>
              </w:rPr>
              <w:t>日期：    年   月   日</w:t>
            </w:r>
          </w:p>
        </w:tc>
      </w:tr>
    </w:tbl>
    <w:p w14:paraId="246FF930">
      <w:pPr>
        <w:spacing w:line="500" w:lineRule="exact"/>
        <w:ind w:right="-218" w:rightChars="-104"/>
        <w:jc w:val="center"/>
        <w:outlineLvl w:val="0"/>
        <w:rPr>
          <w:rFonts w:hint="eastAsia" w:ascii="宋体" w:hAnsi="宋体" w:eastAsia="宋体" w:cs="宋体"/>
          <w:b/>
          <w:sz w:val="36"/>
          <w:highlight w:val="none"/>
        </w:rPr>
      </w:pPr>
    </w:p>
    <w:p w14:paraId="43B505D6">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20DCA"/>
    <w:multiLevelType w:val="singleLevel"/>
    <w:tmpl w:val="A5B20DCA"/>
    <w:lvl w:ilvl="0" w:tentative="0">
      <w:start w:val="1"/>
      <w:numFmt w:val="decimal"/>
      <w:suff w:val="nothing"/>
      <w:lvlText w:val="%1、"/>
      <w:lvlJc w:val="left"/>
    </w:lvl>
  </w:abstractNum>
  <w:abstractNum w:abstractNumId="1">
    <w:nsid w:val="BD4C47F6"/>
    <w:multiLevelType w:val="singleLevel"/>
    <w:tmpl w:val="BD4C47F6"/>
    <w:lvl w:ilvl="0" w:tentative="0">
      <w:start w:val="1"/>
      <w:numFmt w:val="chineseCounting"/>
      <w:suff w:val="nothing"/>
      <w:lvlText w:val="%1、"/>
      <w:lvlJc w:val="left"/>
      <w:rPr>
        <w:rFonts w:hint="eastAsia"/>
      </w:rPr>
    </w:lvl>
  </w:abstractNum>
  <w:abstractNum w:abstractNumId="2">
    <w:nsid w:val="C85FEF38"/>
    <w:multiLevelType w:val="singleLevel"/>
    <w:tmpl w:val="C85FEF38"/>
    <w:lvl w:ilvl="0" w:tentative="0">
      <w:start w:val="1"/>
      <w:numFmt w:val="decimal"/>
      <w:suff w:val="nothing"/>
      <w:lvlText w:val="%1、"/>
      <w:lvlJc w:val="left"/>
    </w:lvl>
  </w:abstractNum>
  <w:abstractNum w:abstractNumId="3">
    <w:nsid w:val="12EA833B"/>
    <w:multiLevelType w:val="singleLevel"/>
    <w:tmpl w:val="12EA833B"/>
    <w:lvl w:ilvl="0" w:tentative="0">
      <w:start w:val="1"/>
      <w:numFmt w:val="decimal"/>
      <w:suff w:val="nothing"/>
      <w:lvlText w:val="%1、"/>
      <w:lvlJc w:val="left"/>
    </w:lvl>
  </w:abstractNum>
  <w:abstractNum w:abstractNumId="4">
    <w:nsid w:val="493A23FA"/>
    <w:multiLevelType w:val="singleLevel"/>
    <w:tmpl w:val="493A23FA"/>
    <w:lvl w:ilvl="0" w:tentative="0">
      <w:start w:val="1"/>
      <w:numFmt w:val="decimal"/>
      <w:suff w:val="nothing"/>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ODA3YTY5YzMwNGEzZjM1OGI5N2E3ZDFkZjZmOTMifQ=="/>
  </w:docVars>
  <w:rsids>
    <w:rsidRoot w:val="00000000"/>
    <w:rsid w:val="067250B2"/>
    <w:rsid w:val="15A05A4E"/>
    <w:rsid w:val="1AD17F6C"/>
    <w:rsid w:val="299A6D72"/>
    <w:rsid w:val="384E2985"/>
    <w:rsid w:val="568B4D0E"/>
    <w:rsid w:val="7E200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afterAutospacing="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首行缩进:  2 字符"/>
    <w:basedOn w:val="1"/>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2876</Words>
  <Characters>2892</Characters>
  <Lines>0</Lines>
  <Paragraphs>0</Paragraphs>
  <TotalTime>4</TotalTime>
  <ScaleCrop>false</ScaleCrop>
  <LinksUpToDate>false</LinksUpToDate>
  <CharactersWithSpaces>2966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2024-07-24T08:04:00Z</dcterms:created>
  <dc:creator>Administrator</dc:creator>
  <cp:lastModifiedBy>薛怡婷</cp:lastModifiedBy>
  <dcterms:modified xsi:type="dcterms:W3CDTF">2025-06-17T07:49:58Z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1A9FAA5BC28947AE8491D59B616A07E2_12</vt:lpwstr>
  </property>
  <property fmtid="{D5CDD505-2E9C-101B-9397-08002B2CF9AE}" pid="4" name="KSOTemplateDocerSaveRecord">
    <vt:lpwstr>eyJoZGlkIjoiOTAzZDZjODk3ZjllMzYwNTJmMzc4ZjE1OTM0OTBiMWQiLCJ1c2VySWQiOiIxNTExNzY2Njc0In0=</vt:lpwstr>
  </property>
</Properties>
</file>