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版本号：BYTC2025CG02120250630002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天汉楼（L1层）羌文化展馆数字化布展项目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BYTC2025CG021</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天汉楼（L1层）羌文化展馆数字化布展项目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天汉楼（L1层）羌文化展馆数字化布展项目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1、本项目定位以数字化、可视化、可交互的方式展现国家级羌族文化生态保护区的历史文化、人文自然、风土人情，打造集参观游览、体验参与、传承研学等。 2、建设地点位于汉中市天汉楼L1层，面积约800平方米。根据天汉楼L1层现状及汉中市羌文化历史、现状、未来发展，打造数字化布展、运维、宣传。 3、布展思路突出数字化宣传及充分考虑未来持续提升数字化、信息化及智能化升级空间。 4、布展服务期为1年，供应商需委派不少于4人在服务期内提供驻场运维及宣传服务，包括：对布展现场所有设备的维护、维修、调试；按采购人最终审定的运维宣传方案，对参观人员提供讲解服务。 5、供应商需无条件配合采购人组织的各项活动，包括但不限于在活动举办时增加人员及展品等。 6、服务期内，乙方需无条件按采购人整理汇总的观展意见，进行展区优化提升。 7、服务期满，乙方需将运行正常的展馆进行移交。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采购包1（天汉楼（L1层）羌文化展馆数字化布展项目）：属于专门面向中小企业采购。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有效的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3、具有良好的商业信誉和健全的财务会计制度, 具有履行合同所必需的设备和专业技术能力, 具有依法缴纳税收和社会保障金的良好记录, 参加本项目采购活动前三年内无重大违法活动记录：提供“汉中市政府采购供应商资格承诺函”；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王琨儒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说明：合同签订后5日内，乙方需缴纳合同总金额的10%为履约保证金。服务期内乙方服务质量不合格的，采购人有权扣减其履约保证金或合同款项。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代理服务费收费标准：按国家计委颁布的《招标代理服务收费管理暂行办法》(计价格[2002]1980 号)和(发改办价格[2003]857 号)收费标准，由成交供应商向采购代理机构支付。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以汉中市文化和旅游局要求为准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地址：陕西省汉中市汉台区汉中路街道办事处荔枝路智诚雅居2楼1号写字间</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1、本项目项目定位以数字化、可视化、可交互的方式展现国家级羌族文化生态保护区的历史文化、人文自然、风土人情，打造集参观游览、体验参与、传承研学等。 2、建设地点位于汉中市天汉楼L1层，面积约800平方米。根据天汉楼L1层现状及汉中市羌文化历史、现状、未来发展，打造数字化布展、运维、宣传。 3、布展思路突出数字化宣传及充分考虑未来持续提升数字化、信息化及智能化升级空间。 4、布展服务期为1年，内供应商需委派不少于4人在服务期内提供驻场运维及宣传服务，包括：对布展现场所有设备的维护、维修、调试；按采购人最终审定的运维宣传方案，对参观人员提供讲解服务。 5、供应商需无条件配合采购人组织的各项活动，包括但不限于在活动举办时增加人员及展品等。 6、服务期内，乙方需无条件按采购人整理汇总的观展意见，进行展区优化提升。 7、服务期满，乙方需将运行正常的展馆进行移交。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天汉楼（L1层）羌文化展馆数字化布展项目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标的名称：天汉楼（L1层）羌文化展馆数字化布展项目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rPr>
              <w:t>羌文化数字化布展方案设计：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1）方案满足汉中市羌文化历史、现状、未来发展要求，至少需提供的效果图及平面布置图。</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2）方案满足展示，展陈及观众互动交流要求。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各主题展区的专项布展设计方案及预期效果分析：</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1）各主题展区设计思路突出数字化宣传，组成元素丰富多样。</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2）提供各主题展区的效果图，展区区域布置图及全套施工图。</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宣传短片：</w:t>
            </w:r>
          </w:p>
          <w:p>
            <w:pPr>
              <w:pStyle w:val="null3"/>
              <w:jc w:val="both"/>
            </w:pPr>
            <w:r>
              <w:rPr>
                <w:rFonts w:ascii="仿宋_GB2312" w:hAnsi="仿宋_GB2312" w:cs="仿宋_GB2312" w:eastAsia="仿宋_GB2312"/>
                <w:sz w:val="32"/>
              </w:rPr>
              <w:t>结合设计方案内容，创作不少于三部羌文化宣传短片视频脚本。</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布展：</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1）乙方布展设计及宣传方案，需通过汉中市天汉楼运营单位及采购人的审核。</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2）乙方按最终审定的方案，对汉中市天汉楼L1层进行配套改造，包含土建、水电、装饰、装修等。</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3）乙方按最终审定的方案，完成展出成果的采购、制作、安装、调试等。</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4）乙方按最终审定的方案，完成策展，布展，展厅运维全流程服务。</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运维、宣传：</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1）乙方需委派不少于4人在服务期内提供驻场运维及宣传服务。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2）包含对布展现场所有设备的维护、维修、调试。</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3）按采购人最终审定的运维宣传方案，对参观人员提供讲解服务。</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其他配套服务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1）乙方应将服务成果定期整理归档，在项目服务结束后向采购人进行移交。</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2）乙方需无条件配合采购人组织的各项活动，包括但不限于在活动举办时增加人员及展品等。</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3）服务期内，乙方需无条件按采购人整理汇总的观展意见，进行展区优化提升。</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4）服务期满，乙方需将运行正常的展馆进行移交。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供应商需委派不少于4人在服务期内提供驻场运维及宣传服务，包括管理岗1人、讲解宣传岗2人、维护维修岗1人；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供应商按最终通过采购人审核的布展及运维方案，投入设施设备。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1、乙方布展设计及宣传方案，需通过汉中市天汉楼运营单位及采购人的审核。 2、乙方需无条件配合采购人组织的各项活动，包括但不限于在活动举办时增加人员及展品等。 3、服务期内，乙方需无条件按采购人整理汇总的观展意见，进行展区优化提升。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项目建设完成，并经采购人审核后，正式投入运行之日起1年。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汉中市汉台区天汉楼</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1、建设期及运维期内，符合采购人及汉中市天汉楼运营单位的各项要求； 2、服务期满，项目结束后应将现场移交至采购人或汉中市天汉楼运营单位。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，同时乙方策划方案通过采购人审核,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项目完成项目建设，报采购人初审合格并正常布展运维满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服务期满并经采购人最终验收后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供应商不得因服务期内完成服务的数量、难易等任何问题，向采购人提出任何异议，包含但不限于提出调价、总价补偿等。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 具有履行合同所必需的设备和专业技术能力, 具有依法缴纳税收和社会保障金的良好记录, 参加本项目采购活动前三年内无重大违法活动记录</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投标文件的完整性、有效性审查</w:t>
            </w:r>
          </w:p>
        </w:tc>
        <w:tc>
          <w:tcPr>
            <w:tcW w:type="dxa" w:w="3322"/>
          </w:tcPr>
          <w:p>
            <w:pPr>
              <w:pStyle w:val="null3"/>
            </w:pPr>
            <w:r>
              <w:rPr>
                <w:rFonts w:ascii="仿宋_GB2312" w:hAnsi="仿宋_GB2312" w:cs="仿宋_GB2312" w:eastAsia="仿宋_GB2312"/>
              </w:rPr>
              <w:t>按照招标文件要求的格式编写、签章齐全、无重大缺漏项等实质性偏离。</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人员.docx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整体布展设计方案</w:t>
            </w:r>
          </w:p>
        </w:tc>
        <w:tc>
          <w:tcPr>
            <w:tcW w:type="dxa" w:w="2492"/>
          </w:tcPr>
          <w:p>
            <w:pPr>
              <w:pStyle w:val="null3"/>
            </w:pPr>
            <w:r>
              <w:rPr>
                <w:rFonts w:ascii="仿宋_GB2312" w:hAnsi="仿宋_GB2312" w:cs="仿宋_GB2312" w:eastAsia="仿宋_GB2312"/>
              </w:rPr>
              <w:t>一、评审内容 针对本项目列明详细的总体方案，内容包括： ①整体思路、设计理念及目标； ②初步创意方案（思路）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详细评审——方案1——整体布展设计方案.docx</w:t>
            </w:r>
          </w:p>
        </w:tc>
      </w:tr>
      <w:tr>
        <w:tc>
          <w:tcPr>
            <w:tcW w:type="dxa" w:w="831"/>
            <w:vMerge/>
          </w:tcPr>
          <w:p/>
        </w:tc>
        <w:tc>
          <w:tcPr>
            <w:tcW w:type="dxa" w:w="1661"/>
          </w:tcPr>
          <w:p>
            <w:pPr>
              <w:pStyle w:val="null3"/>
            </w:pPr>
            <w:r>
              <w:rPr>
                <w:rFonts w:ascii="仿宋_GB2312" w:hAnsi="仿宋_GB2312" w:cs="仿宋_GB2312" w:eastAsia="仿宋_GB2312"/>
              </w:rPr>
              <w:t>主题展区方案</w:t>
            </w:r>
          </w:p>
        </w:tc>
        <w:tc>
          <w:tcPr>
            <w:tcW w:type="dxa" w:w="2492"/>
          </w:tcPr>
          <w:p>
            <w:pPr>
              <w:pStyle w:val="null3"/>
            </w:pPr>
            <w:r>
              <w:rPr>
                <w:rFonts w:ascii="仿宋_GB2312" w:hAnsi="仿宋_GB2312" w:cs="仿宋_GB2312" w:eastAsia="仿宋_GB2312"/>
              </w:rPr>
              <w:t>一、评审内容 针对本项目列明具体的分区主题方案，内容包括： ①各分区主题设计方案（思路）； ②各分区效果图、展区区域布置图；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详细评审——方案2——主题展区方案.docx</w:t>
            </w:r>
          </w:p>
        </w:tc>
      </w:tr>
      <w:tr>
        <w:tc>
          <w:tcPr>
            <w:tcW w:type="dxa" w:w="831"/>
            <w:vMerge/>
          </w:tcPr>
          <w:p/>
        </w:tc>
        <w:tc>
          <w:tcPr>
            <w:tcW w:type="dxa" w:w="1661"/>
          </w:tcPr>
          <w:p>
            <w:pPr>
              <w:pStyle w:val="null3"/>
            </w:pPr>
            <w:r>
              <w:rPr>
                <w:rFonts w:ascii="仿宋_GB2312" w:hAnsi="仿宋_GB2312" w:cs="仿宋_GB2312" w:eastAsia="仿宋_GB2312"/>
              </w:rPr>
              <w:t>运维宣传服务方案</w:t>
            </w:r>
          </w:p>
        </w:tc>
        <w:tc>
          <w:tcPr>
            <w:tcW w:type="dxa" w:w="2492"/>
          </w:tcPr>
          <w:p>
            <w:pPr>
              <w:pStyle w:val="null3"/>
            </w:pPr>
            <w:r>
              <w:rPr>
                <w:rFonts w:ascii="仿宋_GB2312" w:hAnsi="仿宋_GB2312" w:cs="仿宋_GB2312" w:eastAsia="仿宋_GB2312"/>
              </w:rPr>
              <w:t>一、评审内容 针对本项目详细说明运维、宣传服务方案，内容包括： ①运维人员、设备等的保障情况； ②详细的运维、宣传质量保障措施；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详细评审——方案3——运维宣传服务方案.docx</w:t>
            </w:r>
          </w:p>
        </w:tc>
      </w:tr>
      <w:tr>
        <w:tc>
          <w:tcPr>
            <w:tcW w:type="dxa" w:w="831"/>
            <w:vMerge/>
          </w:tcPr>
          <w:p/>
        </w:tc>
        <w:tc>
          <w:tcPr>
            <w:tcW w:type="dxa" w:w="1661"/>
          </w:tcPr>
          <w:p>
            <w:pPr>
              <w:pStyle w:val="null3"/>
            </w:pPr>
            <w:r>
              <w:rPr>
                <w:rFonts w:ascii="仿宋_GB2312" w:hAnsi="仿宋_GB2312" w:cs="仿宋_GB2312" w:eastAsia="仿宋_GB2312"/>
              </w:rPr>
              <w:t>工期进度保障方案</w:t>
            </w:r>
          </w:p>
        </w:tc>
        <w:tc>
          <w:tcPr>
            <w:tcW w:type="dxa" w:w="2492"/>
          </w:tcPr>
          <w:p>
            <w:pPr>
              <w:pStyle w:val="null3"/>
            </w:pPr>
            <w:r>
              <w:rPr>
                <w:rFonts w:ascii="仿宋_GB2312" w:hAnsi="仿宋_GB2312" w:cs="仿宋_GB2312" w:eastAsia="仿宋_GB2312"/>
              </w:rPr>
              <w:t>一、评审内容 针对本项目提供工期进度保障方案，内容包括： ①交付期及运维服务期全过程的进度安排 ； ② 按期完工的具体保障措施 ；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详细评审——方案4——工期进度保障方案.docx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一、评审内容 针对本项目全部履约内容（包含建设期及运维、宣传期），编制重点难点分析及解决方案，内容包括： ①重点难点分析；②重点难点解决方案及合理化建议；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详细评审——方案5——重点难点分析及解决方案.docx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1、业绩 1.1投标人提供2022年1月1日以来完成过同类或类似项目合同，每提供一份得3.0分，最高得3.0分； （注：投标文件中提供合同复印件并加盖单位公章。） 1.2投标人提供的已完同类或类似项目业绩，同时具有合同发包单位出具的验收报告或用户评价证明的，每有1份满足要求得2.0分，最高得2.0分； （注：投标文件中提供证明材料复印件并加盖单位公章。）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2、供应商派驻4人组建驻场服务团队，团队成员具备完成本项目的技术能力：具备同类项目从业经验3年（含3年）以下的，每有1人满足要求得0.5分；具备同类项目从业经验3年（不含3年）以上的，每有1人满足要求得1.0分；本项最高得4.0分； 注：同类项目从业经验以合同签订时间计算，合同为注明服务人员明细的，还需同时提供验收报告或用户评价证明（验收报告或用户评价证明中应注明姓名、身份证号码）。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3、服务承诺 3.1投标人承诺：接受采购人对本项目服务的考核、监督及管理，服务期内定期调研采购人、参展观众对服务质量的满意度并加以改进，确保服务工作的优质高效；承诺内容满足要求得 3.0分，无承诺不得分。 3.2投标人承诺：运维服务期内，同意无条件不限次数，按照采购人整理汇总观展建议后提出的整改要求，对布展进行优化。承诺内容满足要求得 3.0分，无承诺不得分。 注：投标文件中自拟格式内容提供承诺（承诺内容需满足评分标准要求）并加盖单位公章。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详见附件：详细评审——方案1——整体布展设计方案.docx</w:t>
      </w:r>
    </w:p>
    <w:p>
      <w:pPr>
        <w:pStyle w:val="null3"/>
        <w:ind w:firstLine="960"/>
      </w:pPr>
      <w:r>
        <w:rPr>
          <w:rFonts w:ascii="仿宋_GB2312" w:hAnsi="仿宋_GB2312" w:cs="仿宋_GB2312" w:eastAsia="仿宋_GB2312"/>
        </w:rPr>
        <w:t>详见附件：详细评审——方案2——主题展区方案.docx</w:t>
      </w:r>
    </w:p>
    <w:p>
      <w:pPr>
        <w:pStyle w:val="null3"/>
        <w:ind w:firstLine="960"/>
      </w:pPr>
      <w:r>
        <w:rPr>
          <w:rFonts w:ascii="仿宋_GB2312" w:hAnsi="仿宋_GB2312" w:cs="仿宋_GB2312" w:eastAsia="仿宋_GB2312"/>
        </w:rPr>
        <w:t>详见附件：详细评审——方案3——运维宣传服务方案.docx</w:t>
      </w:r>
    </w:p>
    <w:p>
      <w:pPr>
        <w:pStyle w:val="null3"/>
        <w:ind w:firstLine="960"/>
      </w:pPr>
      <w:r>
        <w:rPr>
          <w:rFonts w:ascii="仿宋_GB2312" w:hAnsi="仿宋_GB2312" w:cs="仿宋_GB2312" w:eastAsia="仿宋_GB2312"/>
        </w:rPr>
        <w:t>详见附件：详细评审——方案4——工期进度保障方案.docx</w:t>
      </w:r>
    </w:p>
    <w:p>
      <w:pPr>
        <w:pStyle w:val="null3"/>
        <w:ind w:firstLine="960"/>
      </w:pPr>
      <w:r>
        <w:rPr>
          <w:rFonts w:ascii="仿宋_GB2312" w:hAnsi="仿宋_GB2312" w:cs="仿宋_GB2312" w:eastAsia="仿宋_GB2312"/>
        </w:rPr>
        <w:t>详见附件：详细评审——方案5——重点难点分析及解决方案.docx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