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版本号：RH招字[HZ2025-0602]20250623001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羌文化主题展厅羊皮鼓舞、羌绣数字化提升项目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RH招字[HZ2025-0602]</w:t>
      </w:r>
      <w:r>
        <w:br/>
      </w:r>
      <w:r>
        <w:br/>
      </w:r>
      <w:r>
        <w:br/>
      </w:r>
    </w:p>
    <w:p>
      <w:pPr>
        <w:pStyle w:val="null3"/>
        <w:jc w:val="center"/>
        <w:outlineLvl w:val="2"/>
      </w:pPr>
      <w:r>
        <w:rPr>
          <w:rFonts w:ascii="仿宋_GB2312" w:hAnsi="仿宋_GB2312" w:cs="仿宋_GB2312" w:eastAsia="仿宋_GB2312"/>
          <w:sz w:val="28"/>
          <w:b/>
        </w:rPr>
        <w:t>汉中市文化馆</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汉中市文化馆</w:t>
      </w:r>
      <w:r>
        <w:rPr>
          <w:rFonts w:ascii="仿宋_GB2312" w:hAnsi="仿宋_GB2312" w:cs="仿宋_GB2312" w:eastAsia="仿宋_GB2312"/>
        </w:rPr>
        <w:t>委托，拟对</w:t>
      </w:r>
      <w:r>
        <w:rPr>
          <w:rFonts w:ascii="仿宋_GB2312" w:hAnsi="仿宋_GB2312" w:cs="仿宋_GB2312" w:eastAsia="仿宋_GB2312"/>
        </w:rPr>
        <w:t>羌文化主题展厅羊皮鼓舞、羌绣数字化提升项目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RH招字[HZ2025-0602]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羌文化主题展厅羊皮鼓舞、羌绣数字化提升项目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羌文化主题展厅位于汉中市群艺馆三楼，主要展示陕南羌族人民日常生活，常见的傩戏、饮食、刺绣、剪纸等，是集中宣传展示汉中市羌文化的一个重要窗口。目前展厅的展示形式缺乏有效的体验性和趣味性；不能生动的感受羌族羊皮鼓舞和羌绣等故事，需要对展厅进行数字化升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汉中市汉台区虎桥西路566号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陈冀斌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13572609350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13892627589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汉中市文化馆</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汉中市文化馆</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联系人：李斌</w:t>
      </w:r>
    </w:p>
    <w:p>
      <w:pPr>
        <w:pStyle w:val="null3"/>
      </w:pPr>
      <w:r>
        <w:rPr>
          <w:rFonts w:ascii="仿宋_GB2312" w:hAnsi="仿宋_GB2312" w:cs="仿宋_GB2312" w:eastAsia="仿宋_GB2312"/>
        </w:rPr>
        <w:t>联系电话：13892627589</w:t>
      </w:r>
    </w:p>
    <w:p>
      <w:pPr>
        <w:pStyle w:val="null3"/>
      </w:pPr>
      <w:r>
        <w:rPr>
          <w:rFonts w:ascii="仿宋_GB2312" w:hAnsi="仿宋_GB2312" w:cs="仿宋_GB2312" w:eastAsia="仿宋_GB2312"/>
        </w:rPr>
        <w:t>地址：陕西省汉中市汉台区青龙路西城御景2号楼6层601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羌文化主题展厅位于汉中市群艺馆三楼，主要展示陕南羌族人民日常生活，常见的傩戏、饮食、刺绣、剪纸等，是集中宣传展示汉中市羌文化的一个重要窗口。目前展厅的展示形式缺乏有效的体验性和趣味性；不能生动的感受羌族羊皮鼓舞和羌绣等故事，需要对展厅进行数字化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u w:val="single"/>
              </w:rPr>
              <w:t>①根据</w:t>
            </w:r>
            <w:r>
              <w:rPr>
                <w:rFonts w:ascii="仿宋_GB2312" w:hAnsi="仿宋_GB2312" w:cs="仿宋_GB2312" w:eastAsia="仿宋_GB2312"/>
                <w:sz w:val="21"/>
                <w:u w:val="single"/>
              </w:rPr>
              <w:t>汉中市群艺馆三楼羌文化主题展厅</w:t>
            </w:r>
            <w:r>
              <w:rPr>
                <w:rFonts w:ascii="仿宋_GB2312" w:hAnsi="仿宋_GB2312" w:cs="仿宋_GB2312" w:eastAsia="仿宋_GB2312"/>
                <w:sz w:val="21"/>
                <w:u w:val="single"/>
              </w:rPr>
              <w:t>现场空间环境条件完成项目的创意策划设计；②展陈实施、设备安装采购（包括但不限于设备采购、工艺加工、软件开发、媒体内容制作、音频、视频等）、运输、安装调试、技术培训；③建立完整的项目档案技术资料并通过验收、移交；④项目的全过程管理；⑤售后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汉中市文化馆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所有软件安装、调试完成后进行验收，产品质量达到合格标准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软件交付调试完成后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1、若因履行本合同或与本合同有关事宜所发生的一切争议，双方当事人应通过友好协商方式解决。 2 、如果协商未成，双方同意向甲方所在地仲裁委员会提交仲裁并遵守仲裁规则。</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营业执照.docx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w:t>
            </w:r>
          </w:p>
        </w:tc>
        <w:tc>
          <w:tcPr>
            <w:tcW w:type="dxa" w:w="3322"/>
          </w:tcPr>
          <w:p>
            <w:pPr>
              <w:pStyle w:val="null3"/>
            </w:pPr>
            <w:r>
              <w:rPr>
                <w:rFonts w:ascii="仿宋_GB2312" w:hAnsi="仿宋_GB2312" w:cs="仿宋_GB2312" w:eastAsia="仿宋_GB2312"/>
              </w:rPr>
              <w:t>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w:t>
            </w:r>
          </w:p>
        </w:tc>
        <w:tc>
          <w:tcPr>
            <w:tcW w:type="dxa" w:w="3322"/>
          </w:tcPr>
          <w:p>
            <w:pPr>
              <w:pStyle w:val="null3"/>
            </w:pPr>
            <w:r>
              <w:rPr>
                <w:rFonts w:ascii="仿宋_GB2312" w:hAnsi="仿宋_GB2312" w:cs="仿宋_GB2312" w:eastAsia="仿宋_GB2312"/>
              </w:rPr>
              <w:t>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法人授权书.docx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响应文件签署、盖章实质性响应磋商文件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响应有效期应满足磋商文件要求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响应报价不高于磋商文件中规定的预算金额或最高限价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展陈创意理念</w:t>
            </w:r>
          </w:p>
        </w:tc>
        <w:tc>
          <w:tcPr>
            <w:tcW w:type="dxa" w:w="2492"/>
          </w:tcPr>
          <w:p>
            <w:pPr>
              <w:pStyle w:val="null3"/>
            </w:pPr>
            <w:r>
              <w:rPr>
                <w:rFonts w:ascii="仿宋_GB2312" w:hAnsi="仿宋_GB2312" w:cs="仿宋_GB2312" w:eastAsia="仿宋_GB2312"/>
              </w:rPr>
              <w:t>1、策划设计思路明确、构思理念新颖，对原有空间进行合理升级改造，设计方案科学合理，充分考虑现有场景和空间效果，升级内容保持与原展示空间设计的和谐统一，同时又能增加新的展示形式。 2、空间布局合理流畅，符合人的参观习惯，布展设计的成果文件提交内容满足招标文件要求，提交文件清晰明了。 3、恰当运用新颖展示技术，形成展示空间的丰富表现方式，具有一定的趣味性和观赏性。整体方案内容完整，编制详细、合理。  策划设计构思理念新颖，对原有空间科学合理升级改造、空间布局合理流畅，展示设计的成果清晰明了、展示技术表现方式新颖、丰富、非常好的表现了趣味性和观赏性；评为优秀，得14-20分；  策划设计构思理念较为新颖，对原有空间有较为合理的升级改造、空间布局较为合理流畅、布展设计的成果较为清晰明了、能够运用新颖展示技术，表现方式较为丰富、能表现趣味性和观赏性;评为良好，得7-13分；  策划设计构思理念有一定的新颖点，但相对比较常规，对原有空间有一定的合理的升级改造、空间布局部分合理流畅、布展设计的成果部分清晰明了、展示了部分技术，表现方式部分体现了趣味性和观赏性; 评定为一般得1-6分；  其余及未按要求提供或不提供的得0分。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多媒体方案运用</w:t>
            </w:r>
          </w:p>
        </w:tc>
        <w:tc>
          <w:tcPr>
            <w:tcW w:type="dxa" w:w="2492"/>
          </w:tcPr>
          <w:p>
            <w:pPr>
              <w:pStyle w:val="null3"/>
            </w:pPr>
            <w:r>
              <w:rPr>
                <w:rFonts w:ascii="仿宋_GB2312" w:hAnsi="仿宋_GB2312" w:cs="仿宋_GB2312" w:eastAsia="仿宋_GB2312"/>
              </w:rPr>
              <w:t>1、根据展陈内容，有效运用数字及高科技手段创新展示重要场景，综合运用丰富多样的多媒体技术，并给出多媒体解决方案。 2、多媒体设计给出详细的内容，内容贴合史实，并不失趣味，创意巧妙，具有足够的吸引力。 3、所有多媒体展陈设计，能够考虑到耐用、环保等多方面的实用情况。  多媒体方案有效运用数字及高科技手段创新展示新颖场景，综合运用新颖的多媒体技术；评定为优秀得14-20分  多媒体方案能够运用数字及高科技手段创新展示场景，综合运用普通非多样的多媒体技术；评定为良好得7-13分，  多媒体方案少量运用数字及高科技手段创新展示场景，综合运用少量的多媒体技术；评定为一般得1-6分，  其余及未按要求提供或不提供的得0分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效果图及示意视频</w:t>
            </w:r>
          </w:p>
        </w:tc>
        <w:tc>
          <w:tcPr>
            <w:tcW w:type="dxa" w:w="2492"/>
          </w:tcPr>
          <w:p>
            <w:pPr>
              <w:pStyle w:val="null3"/>
            </w:pPr>
            <w:r>
              <w:rPr>
                <w:rFonts w:ascii="仿宋_GB2312" w:hAnsi="仿宋_GB2312" w:cs="仿宋_GB2312" w:eastAsia="仿宋_GB2312"/>
              </w:rPr>
              <w:t>1.空间效果图与现场空间相契合；设计效果图不低于4张，真实合理不夸张； 2.色彩应用科学合理，契合陈列主题； 3.投标人依据设计方案，提交每个数字化展项的示意视频影片，视频内容能充分表达清楚数字化展项设计效果与现场空间相契合。根据方案效果、视觉冲击力、光影效果等评分。  空间效果图与现场空间相契合，效果图大于等于4张，真实合理不夸张，色彩应用科学合理，契合陈列主题，投标人依据设计方案，提交每个数字化展项的示意视频影片，视频内容能充分表达清楚数字化展项设计效果与现场空间相契合。根据方案效果、视觉冲击力、光影效果等评分。评定为优秀得10-15分；  空间效果图部分与现场空间相契合，效果图等于或小于3张，真实合理稍有夸张，部分色彩应用科学合理，部分契合陈列主题，投标人依据设计方案，提交部分数字化展项的示意视频影片，视频内容部分能充分表达清楚数字化展项设计效果与现场空间相契合。根据方案效果、视觉冲击力、光影效果等评分。评定为良好得6-9分；  空间效果图运用替代效果图，效果图与现场空间相契合，效果图，等于或小于2张，真实不合理有夸张成分，少量色彩应用科学合理，未能契合陈列主题，投标人依据设计方案，未能提交部分数字化展项的示意视频影片。评定为一般得1-5分，  其余及未按要求提供或不提供的得0分。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其他建议设计</w:t>
            </w:r>
          </w:p>
        </w:tc>
        <w:tc>
          <w:tcPr>
            <w:tcW w:type="dxa" w:w="2492"/>
          </w:tcPr>
          <w:p>
            <w:pPr>
              <w:pStyle w:val="null3"/>
            </w:pPr>
            <w:r>
              <w:rPr>
                <w:rFonts w:ascii="仿宋_GB2312" w:hAnsi="仿宋_GB2312" w:cs="仿宋_GB2312" w:eastAsia="仿宋_GB2312"/>
              </w:rPr>
              <w:t>1. 根据目前要求针对羊皮鼓舞和羌绣展区的数字化升级之外， 提供其他增值服务，完善其他展示内容升级； 2. 对现有展厅提出其他合理化设计建议；  考虑全面，思维缜密，根据展厅现有空间提供其他增值服务，完善其他板块展示内容升级并且不突破整体预算，同时对现有展厅提出其他合理化设计建议。评定为优秀得6-10分；  根据展厅现有空间提供其他增值服务，能够对现有展厅提出其他合理化设计建议。评定为良好得1-5分；  其余及未按要求提供或不提供的得0分。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提供2022年6月1日至今完成的类似项目业绩，每提供1个得1分，合计5分。 注：以合同协议书及中标通知书为准。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1、经初审合格的的投标报价为有效报价。对符合政策性扣减的有效报价进行政策性扣减，并依据扣减后的价格进行价格评审。 2、投标报价最低的为基准价得30分。 3、按基准价/投标报价*30的公式计算其得分。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详见附件：汉中市政府采购供应商承诺函.docx</w:t>
      </w:r>
    </w:p>
    <w:p>
      <w:pPr>
        <w:pStyle w:val="null3"/>
        <w:ind w:firstLine="960"/>
      </w:pPr>
      <w:r>
        <w:rPr>
          <w:rFonts w:ascii="仿宋_GB2312" w:hAnsi="仿宋_GB2312" w:cs="仿宋_GB2312" w:eastAsia="仿宋_GB2312"/>
        </w:rPr>
        <w:t>详见附件：类似项目业绩表.docx</w:t>
      </w:r>
    </w:p>
    <w:p>
      <w:pPr>
        <w:pStyle w:val="null3"/>
        <w:ind w:firstLine="960"/>
      </w:pPr>
      <w:r>
        <w:rPr>
          <w:rFonts w:ascii="仿宋_GB2312" w:hAnsi="仿宋_GB2312" w:cs="仿宋_GB2312" w:eastAsia="仿宋_GB2312"/>
        </w:rPr>
        <w:t>详见附件：营业执照.docx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