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版本号：HRPDZB-2025-003920250627001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镇巴县月滩河流域（渔渡、仁村集镇段）水污染治理项目初步设计、施工图、概算采购项目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HRPDZB-2025-0039</w:t>
      </w:r>
      <w:r>
        <w:br/>
      </w:r>
      <w:r>
        <w:br/>
      </w:r>
      <w:r>
        <w:br/>
      </w:r>
    </w:p>
    <w:p>
      <w:pPr>
        <w:pStyle w:val="null3"/>
        <w:jc w:val="center"/>
        <w:outlineLvl w:val="2"/>
      </w:pPr>
      <w:r>
        <w:rPr>
          <w:rFonts w:ascii="仿宋_GB2312" w:hAnsi="仿宋_GB2312" w:cs="仿宋_GB2312" w:eastAsia="仿宋_GB2312"/>
          <w:sz w:val="28"/>
          <w:b/>
        </w:rPr>
        <w:t>汉中市生态环境局镇巴分局</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汉中市生态环境局镇巴分局</w:t>
      </w:r>
      <w:r>
        <w:rPr>
          <w:rFonts w:ascii="仿宋_GB2312" w:hAnsi="仿宋_GB2312" w:cs="仿宋_GB2312" w:eastAsia="仿宋_GB2312"/>
        </w:rPr>
        <w:t>委托，拟对</w:t>
      </w:r>
      <w:r>
        <w:rPr>
          <w:rFonts w:ascii="仿宋_GB2312" w:hAnsi="仿宋_GB2312" w:cs="仿宋_GB2312" w:eastAsia="仿宋_GB2312"/>
        </w:rPr>
        <w:t>镇巴县月滩河流域（渔渡、仁村集镇段）水污染治理项目初步设计、施工图、概算采购项目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HRPDZB-2025-0039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镇巴县月滩河流域（渔渡、仁村集镇段）水污染治理项目初步设计、施工图、概算采购项目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建设规模及建设内容：建设处理能力为800m³/d的污水处理站1座，并配套污水主管网14961m，污水支管网13058m。 本次采购镇巴县月滩河流域（渔渡、仁村集镇段）水污染治理项目初步设计、施工图、概算。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采购包1（镇巴县月滩河流域（渔渡、仁村集镇段）水污染治理项目初步设计、施工图、概算采购项目）：属于专门面向中小企业采购。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pPr>
      <w:r>
        <w:rPr>
          <w:rFonts w:ascii="仿宋_GB2312" w:hAnsi="仿宋_GB2312" w:cs="仿宋_GB2312" w:eastAsia="仿宋_GB2312"/>
        </w:rPr>
        <w:t>3、法定代表人(或委托代理人)身份证明及授权委托书：法定代表人授权书(附法定代表人身份证复印件)及被授权人身份证复印件(法定代表人直接参加投标只须提供法定代表人身份证复印件)</w:t>
      </w:r>
    </w:p>
    <w:p>
      <w:pPr>
        <w:pStyle w:val="null3"/>
      </w:pPr>
      <w:r>
        <w:rPr>
          <w:rFonts w:ascii="仿宋_GB2312" w:hAnsi="仿宋_GB2312" w:cs="仿宋_GB2312" w:eastAsia="仿宋_GB2312"/>
        </w:rPr>
        <w:t>4、资质要求：供应商须具有工程设计专项资质环境工程,水污染防治工程 乙级 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汉中市生态环境局镇巴分局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汉中市生态环境局镇巴分局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魏曼奇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15991968504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13335448555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开户名称：宏睿鹏达项目管理有限公司汉中分公司</w:t>
            </w:r>
          </w:p>
          <w:p>
            <w:pPr>
              <w:pStyle w:val="null3"/>
            </w:pPr>
            <w:r>
              <w:rPr>
                <w:rFonts w:ascii="仿宋_GB2312" w:hAnsi="仿宋_GB2312" w:cs="仿宋_GB2312" w:eastAsia="仿宋_GB2312"/>
              </w:rPr>
              <w:t>开户银行：中国建设银行股份有限公司汉中北团结街支行</w:t>
            </w:r>
          </w:p>
          <w:p>
            <w:pPr>
              <w:pStyle w:val="null3"/>
            </w:pPr>
            <w:r>
              <w:rPr>
                <w:rFonts w:ascii="仿宋_GB2312" w:hAnsi="仿宋_GB2312" w:cs="仿宋_GB2312" w:eastAsia="仿宋_GB2312"/>
              </w:rPr>
              <w:t>银行账号：61050165910000000846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汉中市生态环境局镇巴分局</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汉中市生态环境局镇巴分局</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汉中市生态环境局镇巴分局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联系人：马先生</w:t>
      </w:r>
    </w:p>
    <w:p>
      <w:pPr>
        <w:pStyle w:val="null3"/>
      </w:pPr>
      <w:r>
        <w:rPr>
          <w:rFonts w:ascii="仿宋_GB2312" w:hAnsi="仿宋_GB2312" w:cs="仿宋_GB2312" w:eastAsia="仿宋_GB2312"/>
        </w:rPr>
        <w:t>联系电话：13335448555</w:t>
      </w:r>
    </w:p>
    <w:p>
      <w:pPr>
        <w:pStyle w:val="null3"/>
      </w:pPr>
      <w:r>
        <w:rPr>
          <w:rFonts w:ascii="仿宋_GB2312" w:hAnsi="仿宋_GB2312" w:cs="仿宋_GB2312" w:eastAsia="仿宋_GB2312"/>
        </w:rPr>
        <w:t>地址：镇巴县泾洋街道办龙首融景城6号楼门面房202室</w:t>
      </w:r>
    </w:p>
    <w:p>
      <w:pPr>
        <w:pStyle w:val="null3"/>
      </w:pPr>
      <w:r>
        <w:rPr>
          <w:rFonts w:ascii="仿宋_GB2312" w:hAnsi="仿宋_GB2312" w:cs="仿宋_GB2312" w:eastAsia="仿宋_GB2312"/>
        </w:rPr>
        <w:t>邮编：723600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建设规模及建设内容：建设处理能力为800m³/d的污水处理站1座，并配套污水主管网14961m，污水支管网13058m。 本次采购镇巴县月滩河流域（渔渡、仁村集镇段）水污染治理项目初步设计、施工图、概算。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镇巴县渔水河（渔渡集镇段）流域水污染治理项目初步设计、施工图、概算采购项目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标的名称：镇巴县渔水河（渔渡集镇段）流域水污染治理项目初步设计、施工图、概算采购项目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项目技术、服务 （一）项目内容：建设处理能力为800m³/d的污水处理站1座，并配套污水主管网14961m，污水支管网13058m。 （二）提交成果文件： 1. 成果内容：完成初步设计（含概算）、施工图设计及工程预算编制。 2. 成果提供方式： 初步设计:初步设计图6套（含概算），设计成果光盘2份（每份均包含CAD、GBQ及PDF格式）。 施工图设计:施工图6套（含工程预算编制），设计成果光盘2份（每份均包含CAD、GBQ及PDF格式）。 二、商务及其他要求 （一）质量要求：符合国家和地方相关规范和行业标准要求 （二）服务期：合同签订之日起20日历日 （三）合同价款： 3.1合同总价包括：项目实施费及其他费用等从项目实施至验收合格等所有其他有关各项的含税费用。 3.2合同总价一次包死，不受市场价格、工作量变化等其它因素的影响。 （四）付款方式： 4.1、付款方式：合同签订后付合同价款的40%，施工图设计评审完毕付合同价款30% ，竣工验收完毕付款至100%。 4.2、结算方式：采购人与成交供应商直接结算，发票直开采购人。 4.3、支付方式：银行转账。 （五））项目目检验与验收 5.1、成交供应商向采购人提交项目实施过程中的所有资料。 5.2、验收须以合同、竞争性磋商文件及竞争性磋商响应文件、澄清、及国家相应的标准、规范等为依据。 （六））合同争议的解决 6.1、合同一经签订，不得擅自变更、中止或者终止合同。对确需变更、调整或者中止、终止合同的，应按规定履行相应的手续。 6.2、采购人在合同的履行期间以及履行期后，可以随时检查项目的执行情况， 对磋商响应标准、磋商响应内容进行调查核实，并对发现的问题进行处理。 6.3、合同争议的解决：合同在履行过程中发生的争议，当事人双方应协商解决，协商达不成一致时，可向当地人民法院提请诉讼。 （七））违约约责责任任 7.1、依据《中华人民共和国民法典》、《中华人民共和国政府采购法》的相关条款和本合同约定的相关条款执行。 7.2、成交供应商未按合同要求履行，不符合磋商技术要求，成交供应商必须无条件更换人员或设备，提高技术，完善质量，否则，采购人有权终止合同，并对成交供应商的违约行为进行追究。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1.成交供应商向采购人提交项目实施过程中的所有资料。 2.验收须以合同、竞争性磋商文件及竞争性磋商响应文件、澄 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施工图设计评审完毕</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竣工验收完毕</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1、依据《中华人民共和国民法典》、《中华人民共和国政府采购法》的相关条款和本合同约定的相关条款执行。 2、成交供应商未按合同要求履行，不符合磋商技术要求，成交供应商必须无条件更换人员或设备，提高技术，完善质量，否则，采购人有权终止合同，并对成交供应商的违约行为进行追究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供应商须具有工程设计专项资质环境工程,水污染防治工程 乙级 及以上资质</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供应商应提交的相关资格证明材料.pdf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完全响应竞争性磋商文件要求的各项技术（服务）条款、商务实质性条款</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供应商提供近三年( 2022 年1 月1日-至今)已完成业绩，提供1 个业绩得 2 分，最多得6分，未提供不得分(注： 业绩证明材料为合同或中标(成交)通知书)，以上材料提供齐全为有效业绩，无效业绩不得分。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有详细的人员职责划分、人员管理方案。由评标专家对供应商响应内容进行对比，根据优良程度打分：（优秀得6～5分，良好得4分，一般得3～1分） 项目负责人具有相关专业高级工程师职称得4分，中级职称得3分，没有职称不得分。 注：班子人员需提供相关证书、身份证及本单位社保缴费证 明（近六个月内任意3个月），未提供不得分。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根据本项目的整体情况，提供包括但不限于:①目标任务与需求 分析；②设计范围和内容；③服务方案；④各环节安排；⑤管 理和服务方案制度；⑥技术服务工作范围；⑦任务及目标；⑧ 项目创新点分析等情况。 以上内容每项计 4分，最高得 28 分，每缺少一项的扣 4分，扣完为止；有一处有缺陷的扣 2 分；未提供或明显套用其他项目 内容的不得分。 (缺陷是指:存在不适用项目实际情况的情形、凭空编造、套用其他项目方案、内容前后不一致、前后逻辑错误、涉及的规范及标 准错误、地点区域错误、内容缺失、不符合采购需求、不可能实现的情形等任意一种情形)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工作进度计划</w:t>
            </w:r>
          </w:p>
        </w:tc>
        <w:tc>
          <w:tcPr>
            <w:tcW w:type="dxa" w:w="2492"/>
          </w:tcPr>
          <w:p>
            <w:pPr>
              <w:pStyle w:val="null3"/>
            </w:pPr>
            <w:r>
              <w:rPr>
                <w:rFonts w:ascii="仿宋_GB2312" w:hAnsi="仿宋_GB2312" w:cs="仿宋_GB2312" w:eastAsia="仿宋_GB2312"/>
              </w:rPr>
              <w:t>针对本项目制定工作进度计划，包括不限于:①工作目标；②具体实施内容安排；③进度安排计划；④人员分工及相关进度安排；⑤影响进度因素的解决措施； 以上内容每项2分，最高得10 分，每缺少一项的扣 2 分， 扣 完为止。每有一处有缺陷的扣1分。 (缺陷是指:存在不适用项目实际情况的情形、凭空编造、套用 其 他项目方案、内容前后不一致、前后逻辑错误、涉及的规范 及标 准错误、地点区域错误、内容缺失、不符合采购需求、不 可能实 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工作进度计划.docx</w:t>
            </w:r>
          </w:p>
        </w:tc>
      </w:tr>
      <w:tr>
        <w:tc>
          <w:tcPr>
            <w:tcW w:type="dxa" w:w="831"/>
            <w:vMerge/>
          </w:tcPr>
          <w:p/>
        </w:tc>
        <w:tc>
          <w:tcPr>
            <w:tcW w:type="dxa" w:w="1661"/>
          </w:tcPr>
          <w:p>
            <w:pPr>
              <w:pStyle w:val="null3"/>
            </w:pPr>
            <w:r>
              <w:rPr>
                <w:rFonts w:ascii="仿宋_GB2312" w:hAnsi="仿宋_GB2312" w:cs="仿宋_GB2312" w:eastAsia="仿宋_GB2312"/>
              </w:rPr>
              <w:t>工作重点、难 点分析</w:t>
            </w:r>
          </w:p>
        </w:tc>
        <w:tc>
          <w:tcPr>
            <w:tcW w:type="dxa" w:w="2492"/>
          </w:tcPr>
          <w:p>
            <w:pPr>
              <w:pStyle w:val="null3"/>
            </w:pPr>
            <w:r>
              <w:rPr>
                <w:rFonts w:ascii="仿宋_GB2312" w:hAnsi="仿宋_GB2312" w:cs="仿宋_GB2312" w:eastAsia="仿宋_GB2312"/>
              </w:rPr>
              <w:t>供应商针对本项目提供的重点难点分析及应对措施，内容 包括但不限于：①对项目可能存在的问题进行重点难点分 析②提出的解决方案或合 理化建议③整体分析和措施等 内容进行评审，以上内容每项得2分，有缺陷扣1分，扣完 为止，不提供不得分。 (缺陷是指:存在不适用项目实际情 况的情形、凭空编造、套用其 他项目方案、内容前后不一 致、前后逻辑错误、涉及的规范及标 准错误、地点区域错 误、内容缺失、不符合采购需求、不可能实 现的情形等任 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工作重点、难点分析.docx</w:t>
            </w:r>
          </w:p>
        </w:tc>
      </w:tr>
      <w:tr>
        <w:tc>
          <w:tcPr>
            <w:tcW w:type="dxa" w:w="831"/>
            <w:vMerge/>
          </w:tcPr>
          <w:p/>
        </w:tc>
        <w:tc>
          <w:tcPr>
            <w:tcW w:type="dxa" w:w="1661"/>
          </w:tcPr>
          <w:p>
            <w:pPr>
              <w:pStyle w:val="null3"/>
            </w:pPr>
            <w:r>
              <w:rPr>
                <w:rFonts w:ascii="仿宋_GB2312" w:hAnsi="仿宋_GB2312" w:cs="仿宋_GB2312" w:eastAsia="仿宋_GB2312"/>
              </w:rPr>
              <w:t>设计质量保证措施</w:t>
            </w:r>
          </w:p>
        </w:tc>
        <w:tc>
          <w:tcPr>
            <w:tcW w:type="dxa" w:w="2492"/>
          </w:tcPr>
          <w:p>
            <w:pPr>
              <w:pStyle w:val="null3"/>
            </w:pPr>
            <w:r>
              <w:rPr>
                <w:rFonts w:ascii="仿宋_GB2312" w:hAnsi="仿宋_GB2312" w:cs="仿宋_GB2312" w:eastAsia="仿宋_GB2312"/>
              </w:rPr>
              <w:t>质量管理体系健全，各专业、各阶段质量控制措施内容： ①质量管理体系； ②设计组织机构； ③质量责任制度； ④各专业及各阶段质量控制措施； ⑤设计质量承诺； 每项内容得2分，满分10分；每有一项内容有缺陷的扣 1 分， 扣完为止；缺一项内容扣 2 分，不提供不得分。 (缺陷是指:存在不适用项目实际情况的情形、凭空编造、套用其 他项目方案、内容前后不一致、前后逻辑错误、涉及的规范及标 准错误、地点区域错误、内容缺失、不符合采购需求、不可能实 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设计质量保证措施.docx</w:t>
            </w:r>
          </w:p>
        </w:tc>
      </w:tr>
      <w:tr>
        <w:tc>
          <w:tcPr>
            <w:tcW w:type="dxa" w:w="831"/>
            <w:vMerge/>
          </w:tcPr>
          <w:p/>
        </w:tc>
        <w:tc>
          <w:tcPr>
            <w:tcW w:type="dxa" w:w="1661"/>
          </w:tcPr>
          <w:p>
            <w:pPr>
              <w:pStyle w:val="null3"/>
            </w:pPr>
            <w:r>
              <w:rPr>
                <w:rFonts w:ascii="仿宋_GB2312" w:hAnsi="仿宋_GB2312" w:cs="仿宋_GB2312" w:eastAsia="仿宋_GB2312"/>
              </w:rPr>
              <w:t>设计合理化 建议</w:t>
            </w:r>
          </w:p>
        </w:tc>
        <w:tc>
          <w:tcPr>
            <w:tcW w:type="dxa" w:w="2492"/>
          </w:tcPr>
          <w:p>
            <w:pPr>
              <w:pStyle w:val="null3"/>
            </w:pPr>
            <w:r>
              <w:rPr>
                <w:rFonts w:ascii="仿宋_GB2312" w:hAnsi="仿宋_GB2312" w:cs="仿宋_GB2312" w:eastAsia="仿宋_GB2312"/>
              </w:rPr>
              <w:t>供应商对项目设计提供的合理化建议具体且可实施性强，每提 供一项得2分，最多得10分； 提供的建议有缺陷（有缺陷是指：需求理解错误，方案内容与项目需求不一致，涉及的技术规范标准等与国家或行业或采购 文件要求不一致，方案内容存在凭空想象与编造、内容与实际 实施存在差异性，语义表述不清，存在歧义、混乱，内容不充 实完善等）的扣 1 分，扣完为止；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设计合理化建议.docx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根据本项目的服务内容，做出切实可行的服务承诺，确保项目能按时按质完成，达到服务要求且能保证项目质量。承诺内容清晰、承诺指标明确，后续服务具有可延续性，计5-10分；承诺及措施科学合理，基本满足项目需求 ，计0-5分。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详见附件：工作进度计划.docx</w:t>
      </w:r>
    </w:p>
    <w:p>
      <w:pPr>
        <w:pStyle w:val="null3"/>
        <w:ind w:firstLine="960"/>
      </w:pPr>
      <w:r>
        <w:rPr>
          <w:rFonts w:ascii="仿宋_GB2312" w:hAnsi="仿宋_GB2312" w:cs="仿宋_GB2312" w:eastAsia="仿宋_GB2312"/>
        </w:rPr>
        <w:t>详见附件：工作重点、难点分析.docx</w:t>
      </w:r>
    </w:p>
    <w:p>
      <w:pPr>
        <w:pStyle w:val="null3"/>
        <w:ind w:firstLine="960"/>
      </w:pPr>
      <w:r>
        <w:rPr>
          <w:rFonts w:ascii="仿宋_GB2312" w:hAnsi="仿宋_GB2312" w:cs="仿宋_GB2312" w:eastAsia="仿宋_GB2312"/>
        </w:rPr>
        <w:t>详见附件：设计质量保证措施.docx</w:t>
      </w:r>
    </w:p>
    <w:p>
      <w:pPr>
        <w:pStyle w:val="null3"/>
        <w:ind w:firstLine="960"/>
      </w:pPr>
      <w:r>
        <w:rPr>
          <w:rFonts w:ascii="仿宋_GB2312" w:hAnsi="仿宋_GB2312" w:cs="仿宋_GB2312" w:eastAsia="仿宋_GB2312"/>
        </w:rPr>
        <w:t>详见附件：设计合理化建议.docx</w:t>
      </w:r>
    </w:p>
    <w:p>
      <w:pPr>
        <w:pStyle w:val="null3"/>
        <w:ind w:firstLine="960"/>
      </w:pPr>
      <w:r>
        <w:rPr>
          <w:rFonts w:ascii="仿宋_GB2312" w:hAnsi="仿宋_GB2312" w:cs="仿宋_GB2312" w:eastAsia="仿宋_GB2312"/>
        </w:rPr>
        <w:t>详见附件：服务承诺.docx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