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版本号：JXRZ-HC-2025-05920250603001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网络线路租赁采购项目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JXRZ-HC-2025-059</w:t>
      </w:r>
      <w:r>
        <w:br/>
      </w:r>
      <w:r>
        <w:br/>
      </w:r>
      <w:r>
        <w:br/>
      </w:r>
    </w:p>
    <w:p>
      <w:pPr>
        <w:pStyle w:val="null3"/>
        <w:jc w:val="center"/>
        <w:outlineLvl w:val="5"/>
      </w:pPr>
      <w:r>
        <w:rPr>
          <w:rFonts w:ascii="仿宋_GB2312" w:hAnsi="仿宋_GB2312" w:cs="仿宋_GB2312" w:eastAsia="仿宋_GB2312"/>
          <w:sz w:val="15"/>
          <w:b/>
        </w:rPr>
        <w:t>汉中市公安局交通警察支队高速公路大队</w:t>
      </w:r>
    </w:p>
    <w:p>
      <w:pPr>
        <w:pStyle w:val="null3"/>
        <w:jc w:val="center"/>
        <w:outlineLvl w:val="5"/>
      </w:pPr>
      <w:r>
        <w:rPr>
          <w:rFonts w:ascii="仿宋_GB2312" w:hAnsi="仿宋_GB2312" w:cs="仿宋_GB2312" w:eastAsia="仿宋_GB2312"/>
          <w:sz w:val="15"/>
          <w:b/>
        </w:rPr>
        <w:t>陕西锦鑫睿泽项目管理有限公司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汉中市公安局交通警察支队高速公路大队</w:t>
      </w:r>
      <w:r>
        <w:rPr>
          <w:rFonts w:ascii="仿宋_GB2312" w:hAnsi="仿宋_GB2312" w:cs="仿宋_GB2312" w:eastAsia="仿宋_GB2312"/>
        </w:rPr>
        <w:t>委托，拟对</w:t>
      </w:r>
      <w:r>
        <w:rPr>
          <w:rFonts w:ascii="仿宋_GB2312" w:hAnsi="仿宋_GB2312" w:cs="仿宋_GB2312" w:eastAsia="仿宋_GB2312"/>
        </w:rPr>
        <w:t>网络线路租赁采购项目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JXRZ-HC-2025-059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网络线路租赁采购项目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汉中市公安局交通警察支队高速公路大队机关、中队及辖区高速公路沿线区间测速、卡口、LED屏等公安专线网络租赁项目。保障公安网络畅通，确保高速公路交通管理各项工作任务顺利进行。</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汉中市公安局交通警察支队高速公路大队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汉中市南郑区大河坎镇苏家山村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13399166798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陕西省汉中市汉台区陕西省汉中市汉台区汉中路街道办事处民主街明珠小区54号楼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15309166370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汉中市公安局交通警察支队高速公路大队</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汉中市公安局交通警察支队高速公路大队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服务期内线路使用无故障，出现故障能在约定时间内恢复。</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汉中市公安局交通警察支队高速公路大队机关、中队及辖区高速公路沿线区间测速、卡口、LED屏等公安专线网络租赁项目。保障公安网络畅通，确保高速公路交通管理各项工作任务顺利进行。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510000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标的名称：510000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公安专网数据专线，带宽≥50M，62条。保障公安网络畅通，确保高速公路交通管理各项工作任务顺利进行。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办公互联网专线，带宽≥100M，1条。以满足日常办公、业务运营、数据传输等需求，避免网络拥堵。</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稳定性：要求网络连接稳定，尽量减少掉网络租线、卡顿、延迟等问题，以保障业务的连续性和高效性。</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技术支持：供应商需提供及时、有效的技术支持，包括7X24小时客服热线、在线客服等多种渠道，以便在网络出现问题时能快速响应并解决。</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服务水平协议：明确服务提供商在网络可用性、故障解决时间等方面的承诺。</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数据安全：网络应具备安全防护机制，如防火墙、入侵检测系统等，防止数据泄露、被篡改或遭受网络攻击。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自合同签订之日起一年。本项目采取一次招标三年沿用、实行一年一考核一签合同的办法。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验收后按季度付费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验收后按季度付费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验收后按季度付费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验收后按季度付费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甲方和乙方双方违约责任遵照签订的合同条款执行。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其他材料.docx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供应商资格证明文件.docx 其他材料.docx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供应商资格证明文件.docx 其他材料.docx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分项报价明细表.docx 服务方案 报价表 商务应答表.docx 供应商资格证明文件.docx 其他材料.docx 响应函 监狱企业的证明文件 服务应答表.docx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分项报价明细表.docx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分项报价明细表.docx 服务方案 报价表 商务应答表.docx 供应商资格证明文件.docx 其他材料.docx 响应函 监狱企业的证明文件 服务应答表.docx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