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版本号：HWHZ-202502320250701001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数智化教室建设项目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HWHZ-2025023</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数智化教室建设项目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HWHZ-2025023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数智化教室建设项目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将学院1-7号教学楼120间教室、1号实训楼S1-414、S1-514、S1-411三间理实一体化教室建设为数智化教室，更好满足日常教学管理的信息化教学需求、校园教学场所技防安防需要和标准化考场服务需要，实现课堂直播教学、教学资源录制与存储、日常教学巡课、教学任务执行情况督查、考场监控、部分教学评估材料的采集、校园教学场所技防安防等功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 《法定代表人身份证明》及身份证复印件；法定代表人授权他人参加投标，须提供《法定代表人授权委托书》、被授权人身份证复印件；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3、供应商资格承诺函：供应商须提供“汉中市政府采购供应商资格承诺函”；</w:t>
      </w:r>
    </w:p>
    <w:p>
      <w:pPr>
        <w:pStyle w:val="null3"/>
      </w:pPr>
      <w:r>
        <w:rPr>
          <w:rFonts w:ascii="仿宋_GB2312" w:hAnsi="仿宋_GB2312" w:cs="仿宋_GB2312" w:eastAsia="仿宋_GB2312"/>
        </w:rPr>
        <w:t>4、非联合体声明：本项目不接受联合体投标，需提供非联合体书面声明。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0916-2211759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陕西省汉中市汉台区留候路广厦东方明珠小区南门临街商铺二楼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采购包1：3,344,200.00元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银行账号：61050110066600000600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说明：不超过合同金额5%，项目验收合格后在支付合同款之前供应商向学院缴纳履约保证金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发改委《招标代理服务收费管理暂行办法》（计价格[2002]1980号）和国家发展改革委员会办公厅颁发的《关于招标代理服务收费有关问题的通知》（发改办价格[2003]857号）规定标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联系人：冯工</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地址：陕西省汉中市汉台区北关街道办事处留侯路东方明珠小区南门临街商铺二楼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将学院1-7号教学楼120间教室、1号实训楼S1-414、S1-514、S1-411三间理实一体化教室建设为数智化教室，更好满足日常教学管理的信息化教学需求、校园教学场所技防安防需要和标准化考场服务需要，实现课堂直播教学、教学资源录制与存储、日常教学巡课、教学任务执行情况督查、考场监控、部分教学评估材料的采集、校园教学场所技防安防等功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3,344,200.00</w:t>
      </w:r>
    </w:p>
    <w:p>
      <w:pPr>
        <w:pStyle w:val="null3"/>
      </w:pPr>
      <w:r>
        <w:rPr>
          <w:rFonts w:ascii="仿宋_GB2312" w:hAnsi="仿宋_GB2312" w:cs="仿宋_GB2312" w:eastAsia="仿宋_GB2312"/>
        </w:rPr>
        <w:t>采购包最高限价（元）: 3,344,200.00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3,344,200.00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drawing>
                <wp:inline distT="0" distR="0" distB="0" distL="0">
                  <wp:extent cx="1621155" cy="1278739"/>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278739"/>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drawing>
                <wp:inline distT="0" distR="0" distB="0" distL="0">
                  <wp:extent cx="1621155" cy="1198918"/>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1198918"/>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drawing>
                <wp:inline distT="0" distR="0" distB="0" distL="0">
                  <wp:extent cx="1621155" cy="1196981"/>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621155" cy="1196981"/>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drawing>
                <wp:inline distT="0" distR="0" distB="0" distL="0">
                  <wp:extent cx="1621155" cy="1202792"/>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1621155" cy="1202792"/>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drawing>
                <wp:inline distT="0" distR="0" distB="0" distL="0">
                  <wp:extent cx="1621155" cy="1197488"/>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1621155" cy="1197488"/>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drawing>
                <wp:inline distT="0" distR="0" distB="0" distL="0">
                  <wp:extent cx="1621155" cy="1183519"/>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1621155" cy="1183519"/>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drawing>
                <wp:inline distT="0" distR="0" distB="0" distL="0">
                  <wp:extent cx="1621155" cy="1200426"/>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2"/>
                          <a:stretch>
                            <a:fillRect/>
                          </a:stretch>
                        </pic:blipFill>
                        <pic:spPr>
                          <a:xfrm>
                            <a:off x="0" y="0"/>
                            <a:ext cx="1621155" cy="1200426"/>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drawing>
                <wp:inline distT="0" distR="0" distB="0" distL="0">
                  <wp:extent cx="1621155" cy="1176767"/>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3"/>
                          <a:stretch>
                            <a:fillRect/>
                          </a:stretch>
                        </pic:blipFill>
                        <pic:spPr>
                          <a:xfrm>
                            <a:off x="0" y="0"/>
                            <a:ext cx="1621155" cy="1176767"/>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drawing>
                <wp:inline distT="0" distR="0" distB="0" distL="0">
                  <wp:extent cx="1621155" cy="1279859"/>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4"/>
                          <a:stretch>
                            <a:fillRect/>
                          </a:stretch>
                        </pic:blipFill>
                        <pic:spPr>
                          <a:xfrm>
                            <a:off x="0" y="0"/>
                            <a:ext cx="1621155" cy="1279859"/>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drawing>
                <wp:inline distT="0" distR="0" distB="0" distL="0">
                  <wp:extent cx="1621155" cy="1196060"/>
                  <wp:docPr id="10" name="Drawing 10" descr="img"/>
                  <a:graphic xmlns:a="http://schemas.openxmlformats.org/drawingml/2006/main">
                    <a:graphicData uri="http://schemas.openxmlformats.org/drawingml/2006/picture">
                      <pic:pic xmlns:pic="http://schemas.openxmlformats.org/drawingml/2006/picture">
                        <pic:nvPicPr>
                          <pic:cNvPr id="0" name="Picture 10" descr="img"/>
                          <pic:cNvPicPr>
                            <a:picLocks noChangeAspect="true"/>
                          </pic:cNvPicPr>
                        </pic:nvPicPr>
                        <pic:blipFill>
                          <a:blip r:embed="rId15"/>
                          <a:stretch>
                            <a:fillRect/>
                          </a:stretch>
                        </pic:blipFill>
                        <pic:spPr>
                          <a:xfrm>
                            <a:off x="0" y="0"/>
                            <a:ext cx="1621155" cy="1196060"/>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drawing>
                <wp:inline distT="0" distR="0" distB="0" distL="0">
                  <wp:extent cx="1621155" cy="1200426"/>
                  <wp:docPr id="11" name="Drawing 11" descr="img"/>
                  <a:graphic xmlns:a="http://schemas.openxmlformats.org/drawingml/2006/main">
                    <a:graphicData uri="http://schemas.openxmlformats.org/drawingml/2006/picture">
                      <pic:pic xmlns:pic="http://schemas.openxmlformats.org/drawingml/2006/picture">
                        <pic:nvPicPr>
                          <pic:cNvPr id="0" name="Picture 11" descr="img"/>
                          <pic:cNvPicPr>
                            <a:picLocks noChangeAspect="true"/>
                          </pic:cNvPicPr>
                        </pic:nvPicPr>
                        <pic:blipFill>
                          <a:blip r:embed="rId16"/>
                          <a:stretch>
                            <a:fillRect/>
                          </a:stretch>
                        </pic:blipFill>
                        <pic:spPr>
                          <a:xfrm>
                            <a:off x="0" y="0"/>
                            <a:ext cx="1621155" cy="1200426"/>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drawing>
                <wp:inline distT="0" distR="0" distB="0" distL="0">
                  <wp:extent cx="1621155" cy="1190385"/>
                  <wp:docPr id="12" name="Drawing 12" descr="img"/>
                  <a:graphic xmlns:a="http://schemas.openxmlformats.org/drawingml/2006/main">
                    <a:graphicData uri="http://schemas.openxmlformats.org/drawingml/2006/picture">
                      <pic:pic xmlns:pic="http://schemas.openxmlformats.org/drawingml/2006/picture">
                        <pic:nvPicPr>
                          <pic:cNvPr id="0" name="Picture 12" descr="img"/>
                          <pic:cNvPicPr>
                            <a:picLocks noChangeAspect="true"/>
                          </pic:cNvPicPr>
                        </pic:nvPicPr>
                        <pic:blipFill>
                          <a:blip r:embed="rId17"/>
                          <a:stretch>
                            <a:fillRect/>
                          </a:stretch>
                        </pic:blipFill>
                        <pic:spPr>
                          <a:xfrm>
                            <a:off x="0" y="0"/>
                            <a:ext cx="1621155" cy="1190385"/>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drawing>
                <wp:inline distT="0" distR="0" distB="0" distL="0">
                  <wp:extent cx="1621155" cy="1187190"/>
                  <wp:docPr id="13" name="Drawing 13" descr="img"/>
                  <a:graphic xmlns:a="http://schemas.openxmlformats.org/drawingml/2006/main">
                    <a:graphicData uri="http://schemas.openxmlformats.org/drawingml/2006/picture">
                      <pic:pic xmlns:pic="http://schemas.openxmlformats.org/drawingml/2006/picture">
                        <pic:nvPicPr>
                          <pic:cNvPr id="0" name="Picture 13" descr="img"/>
                          <pic:cNvPicPr>
                            <a:picLocks noChangeAspect="true"/>
                          </pic:cNvPicPr>
                        </pic:nvPicPr>
                        <pic:blipFill>
                          <a:blip r:embed="rId18"/>
                          <a:stretch>
                            <a:fillRect/>
                          </a:stretch>
                        </pic:blipFill>
                        <pic:spPr>
                          <a:xfrm>
                            <a:off x="0" y="0"/>
                            <a:ext cx="1621155" cy="1187190"/>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drawing>
                <wp:inline distT="0" distR="0" distB="0" distL="0">
                  <wp:extent cx="1621155" cy="1139755"/>
                  <wp:docPr id="14" name="Drawing 14" descr="img"/>
                  <a:graphic xmlns:a="http://schemas.openxmlformats.org/drawingml/2006/main">
                    <a:graphicData uri="http://schemas.openxmlformats.org/drawingml/2006/picture">
                      <pic:pic xmlns:pic="http://schemas.openxmlformats.org/drawingml/2006/picture">
                        <pic:nvPicPr>
                          <pic:cNvPr id="0" name="Picture 14" descr="img"/>
                          <pic:cNvPicPr>
                            <a:picLocks noChangeAspect="true"/>
                          </pic:cNvPicPr>
                        </pic:nvPicPr>
                        <pic:blipFill>
                          <a:blip r:embed="rId19"/>
                          <a:stretch>
                            <a:fillRect/>
                          </a:stretch>
                        </pic:blipFill>
                        <pic:spPr>
                          <a:xfrm>
                            <a:off x="0" y="0"/>
                            <a:ext cx="1621155" cy="1139755"/>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drawing>
                <wp:inline distT="0" distR="0" distB="0" distL="0">
                  <wp:extent cx="1621155" cy="1284542"/>
                  <wp:docPr id="15" name="Drawing 15" descr="img"/>
                  <a:graphic xmlns:a="http://schemas.openxmlformats.org/drawingml/2006/main">
                    <a:graphicData uri="http://schemas.openxmlformats.org/drawingml/2006/picture">
                      <pic:pic xmlns:pic="http://schemas.openxmlformats.org/drawingml/2006/picture">
                        <pic:nvPicPr>
                          <pic:cNvPr id="0" name="Picture 15" descr="img"/>
                          <pic:cNvPicPr>
                            <a:picLocks noChangeAspect="true"/>
                          </pic:cNvPicPr>
                        </pic:nvPicPr>
                        <pic:blipFill>
                          <a:blip r:embed="rId20"/>
                          <a:stretch>
                            <a:fillRect/>
                          </a:stretch>
                        </pic:blipFill>
                        <pic:spPr>
                          <a:xfrm>
                            <a:off x="0" y="0"/>
                            <a:ext cx="1621155" cy="1284542"/>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drawing>
                <wp:inline distT="0" distR="0" distB="0" distL="0">
                  <wp:extent cx="1621155" cy="1158796"/>
                  <wp:docPr id="16" name="Drawing 16" descr="img"/>
                  <a:graphic xmlns:a="http://schemas.openxmlformats.org/drawingml/2006/main">
                    <a:graphicData uri="http://schemas.openxmlformats.org/drawingml/2006/picture">
                      <pic:pic xmlns:pic="http://schemas.openxmlformats.org/drawingml/2006/picture">
                        <pic:nvPicPr>
                          <pic:cNvPr id="0" name="Picture 16" descr="img"/>
                          <pic:cNvPicPr>
                            <a:picLocks noChangeAspect="true"/>
                          </pic:cNvPicPr>
                        </pic:nvPicPr>
                        <pic:blipFill>
                          <a:blip r:embed="rId21"/>
                          <a:stretch>
                            <a:fillRect/>
                          </a:stretch>
                        </pic:blipFill>
                        <pic:spPr>
                          <a:xfrm>
                            <a:off x="0" y="0"/>
                            <a:ext cx="1621155" cy="1158796"/>
                          </a:xfrm>
                          <a:prstGeom prst="rect">
                            <a:avLst/>
                          </a:prstGeom>
                        </pic:spPr>
                      </pic:pic>
                    </a:graphicData>
                  </a:graphic>
                </wp:inline>
              </w:drawing>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50日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试运行 1 周后组织验收，按照招标文件、投标文件和合同约定进行验收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在承诺的质保期内对所有产品及时进行免费的售后服务，整个项目（含硬件、软件及项目定制服务）保修期不少于3年。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因本项目为不见面开标，供应商无需在开标现场提交纸质投标文件，待采购结果发布后3个工作日内成交供应商向代理机构提交纸质版投标文件以便于存档，投标文件包括:正本壹份、副本壹份，电子版U盘壹份(含投标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 《法定代表人身份证明》及身份证复印件；法定代表人授权他人参加投标，须提供《法定代表人授权委托书》、被授权人身份证复印件；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响应文件签署人身份证明.docx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本项目不接受联合体投标，需提供非联合体书面声明。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符合招标文件要求，投标文件内容齐全、无遗漏</w:t>
            </w:r>
          </w:p>
        </w:tc>
        <w:tc>
          <w:tcPr>
            <w:tcW w:type="dxa" w:w="1661"/>
          </w:tcPr>
          <w:p>
            <w:pPr>
              <w:pStyle w:val="null3"/>
            </w:pPr>
            <w:r>
              <w:rPr>
                <w:rFonts w:ascii="仿宋_GB2312" w:hAnsi="仿宋_GB2312" w:cs="仿宋_GB2312" w:eastAsia="仿宋_GB2312"/>
              </w:rPr>
              <w:t>开标一览表 技术方案.docx 中小企业声明函 商务应答表 汉中市政府采购供应商资格承诺函.docx 投标人应提交的相关资格证明材料 产品技术参数表 投标函 残疾人福利性单位声明函 标的清单 投标文件封面 业绩相关证明材料.docx 响应文件签署人身份证明.docx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技术方案.docx 中小企业声明函 商务应答表 汉中市政府采购供应商资格承诺函.docx 投标人应提交的相关资格证明材料 产品技术参数表 投标函 残疾人福利性单位声明函 标的清单 投标文件封面 业绩相关证明材料.docx 响应文件签署人身份证明.docx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不得超过采购预算，不得提交选择性报价</w:t>
            </w:r>
          </w:p>
        </w:tc>
        <w:tc>
          <w:tcPr>
            <w:tcW w:type="dxa" w:w="1661"/>
          </w:tcPr>
          <w:p>
            <w:pPr>
              <w:pStyle w:val="null3"/>
            </w:pPr>
            <w:r>
              <w:rPr>
                <w:rFonts w:ascii="仿宋_GB2312" w:hAnsi="仿宋_GB2312" w:cs="仿宋_GB2312" w:eastAsia="仿宋_GB2312"/>
              </w:rPr>
              <w:t>开标一览表 投标函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 2021 年 1 月至今的同类项目业绩合同，以合同或中标通知书为准，提供一个得 2 分，满分 6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本地化服务</w:t>
            </w:r>
          </w:p>
        </w:tc>
        <w:tc>
          <w:tcPr>
            <w:tcW w:type="dxa" w:w="2492"/>
          </w:tcPr>
          <w:p>
            <w:pPr>
              <w:pStyle w:val="null3"/>
            </w:pPr>
            <w:r>
              <w:rPr>
                <w:rFonts w:ascii="仿宋_GB2312" w:hAnsi="仿宋_GB2312" w:cs="仿宋_GB2312" w:eastAsia="仿宋_GB2312"/>
              </w:rPr>
              <w:t>售后服务机构健全，具有本地化履约能力；提供投标产品发生故障后的到达现场时间、解决故障时间、补救 措施等方面的方案内容，提供详细的售后服务方案及售后服务承诺细则等；根据响应程度计 0-2 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售后及承诺</w:t>
            </w:r>
          </w:p>
        </w:tc>
        <w:tc>
          <w:tcPr>
            <w:tcW w:type="dxa" w:w="2492"/>
          </w:tcPr>
          <w:p>
            <w:pPr>
              <w:pStyle w:val="null3"/>
            </w:pPr>
            <w:r>
              <w:rPr>
                <w:rFonts w:ascii="仿宋_GB2312" w:hAnsi="仿宋_GB2312" w:cs="仿宋_GB2312" w:eastAsia="仿宋_GB2312"/>
              </w:rPr>
              <w:t>售后服务年限增加一年及以上者加 1 分，其他有实质性的售后服务承诺加 1 分，满分 2 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技术参数中带“★”的为重要技术参数，不带“★”的为一般技术参数，满足或优于招标文件全部技术要求的得 30.5 分，其中“★”技术参数，不满足每条扣 1 分，其余技术参数有负偏离的，每条扣 0.5 分，扣完为止。注：（1）为防止投标人虚假应标，需按照招标文件参数表中要求提供相应证明材料（包括但不限于 彩页、官网截图、检测报告）；（2）投标人必须在投标文件中详细制定技术内容偏离表并注明参数所在的页码及条目，偏离表内容含糊表达不清楚的不得分。</w:t>
            </w:r>
          </w:p>
        </w:tc>
        <w:tc>
          <w:tcPr>
            <w:tcW w:type="dxa" w:w="831"/>
          </w:tcPr>
          <w:p>
            <w:pPr>
              <w:pStyle w:val="null3"/>
              <w:jc w:val="right"/>
            </w:pPr>
            <w:r>
              <w:rPr>
                <w:rFonts w:ascii="仿宋_GB2312" w:hAnsi="仿宋_GB2312" w:cs="仿宋_GB2312" w:eastAsia="仿宋_GB2312"/>
              </w:rPr>
              <w:t>30.5000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（1）总体实施方案详尽、完善、可行性强得 4 分；实施方案较为详尽、完善、可行性较强得 2-3 分；实施 方案不详尽、不完善、可行性差得 0-1 分。（2）对产品的供货、安装调试、组织措施完善，并针对本项目特点做出合理计划及调配，由专业的技术人员提供产品安装服务，能保证产品的顺利使用，根据响应情况计 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项目质量保证</w:t>
            </w:r>
          </w:p>
        </w:tc>
        <w:tc>
          <w:tcPr>
            <w:tcW w:type="dxa" w:w="2492"/>
          </w:tcPr>
          <w:p>
            <w:pPr>
              <w:pStyle w:val="null3"/>
            </w:pPr>
            <w:r>
              <w:rPr>
                <w:rFonts w:ascii="仿宋_GB2312" w:hAnsi="仿宋_GB2312" w:cs="仿宋_GB2312" w:eastAsia="仿宋_GB2312"/>
              </w:rPr>
              <w:t>（1）投标人或投标人所投设备制造商应具有较强的技术实力和项目服务能力，具备 CNAS 国家认可实验室证书的，提供相关证明材料复印件并加盖公章。（2）为保证本项目产品及服务具备良好的质量水平，保障系统兼容性，投标人所投产品的制造商需具备合理有效的企业标准体系，具备标准化良好行为 AAAAA 的，提供证书复印件并加盖公章。（3）投标人或投标人所投产品制造商应具备良好的体系管理能力，需提供质量管理体系认证证书 ISO9001。每项证书得 1 分，共 3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项目培训方案</w:t>
            </w:r>
          </w:p>
        </w:tc>
        <w:tc>
          <w:tcPr>
            <w:tcW w:type="dxa" w:w="2492"/>
          </w:tcPr>
          <w:p>
            <w:pPr>
              <w:pStyle w:val="null3"/>
            </w:pPr>
            <w:r>
              <w:rPr>
                <w:rFonts w:ascii="仿宋_GB2312" w:hAnsi="仿宋_GB2312" w:cs="仿宋_GB2312" w:eastAsia="仿宋_GB2312"/>
              </w:rPr>
              <w:t>培训方案是否目标明确，针对性强，培训计划是否合理，针对培训人员是否有分类分岗的培训课程，是否 能够保证后期的跟踪指导，保障培训成效得 5分；方案详细完善，内容具体，完全满足采购人需求的得 3-4 分；方案不够详实、无针对性的得 1-2,不提供不得分。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（1）具备完整的售后服务体系，针对本项目提供的售后服务方案包括：售后服务是否合理完善，服务机制 是否健全，具有完善的质保措施，售后服务承诺详细（内容详尽具体、反应时间及时、针对性强且可行性高）、满足采购人需求，切合项目实际情况得 3 分，磋商小组通过对各投标人售后服务方案横向对比，酌情打分，不提供不得分。 （2）售后服务人员配置合理、售后服务响应时间等措施优于其他投标单位（包括：地址、联系人、联系电话）得 2 分，磋商小组通过对各投标人售后服务方案横向对比，酌情打分，不提供不得分。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项目演示</w:t>
            </w:r>
          </w:p>
        </w:tc>
        <w:tc>
          <w:tcPr>
            <w:tcW w:type="dxa" w:w="2492"/>
          </w:tcPr>
          <w:p>
            <w:pPr>
              <w:pStyle w:val="null3"/>
            </w:pPr>
            <w:r>
              <w:rPr>
                <w:rFonts w:ascii="仿宋_GB2312" w:hAnsi="仿宋_GB2312" w:cs="仿宋_GB2312" w:eastAsia="仿宋_GB2312"/>
              </w:rPr>
              <w:t>投标人对各自产品主要功能进行演示,演示时间控制在 20 分钟以内，每项演示功能 1.5分，共 10.5 分，功能不满足或未演示者不得分。要求演示过程清晰明了、结果现象明显，视频文件上传网上，生成二维码，做在投标文件中，可扫码观看，以此作为佐证材料。 （1）教学资源管理平台：演示系统管理功能，支持查看课程资源，根据章节列表点播资源；支持多分屏播放，支持手动切换通道最大化；支持查看知识点和微视频；并演示移动端微应用功能； （2）智能管控平台：演示利用智能管控平台开展网络巡检及设备管理的各项功能，需支持微信推送功能，可将教室预约和教室故障信息根据权限推送至管理人员微信； （3）督导评价系统：具有完善的教学评价模板，实现对课程资源多维度的教学评价，并对评价结果进行图表统计。具备领导听课和校外专家听课管理功能。支持对听课组成员进行管理，支持创建听课任务、查看听课结果统计、导出听课报告等相关功能； （4）智慧巡课系统：具有成熟的课表管理，具有学院、教室、课程、课表管理、学期管理和节次管理模块，支持批量导入或手动创建课表。可通过定制开发，对接本校现有的教务系统，实现课程的自动化录制；演示在线巡课功能； （5）考试监控系统：支持根据考试规划，设定考试监考录制任务，支持数据手动录入和xls 数据导入，根据考试计划，进行考场分析、考场监控和考试记录； （6）AI 课堂分析系统：支持对 AI 分析课程进行汇总统计，分别统计被分析的课程、班级、分析节次总数，显示各院系分析节次总数柱形图、各院系分析课程数量柱形图，授课类型分布情况、课堂行为分布情况、课堂丰富指数等。 （7）数据看板功能：通过数据看板展示 AI课堂分析数据。</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1.评标基准价：满足招标文件要求且投标价格最低的投标报价为评标基准价，评标基准价为 30 分； 2.报价得分：其他投标人的报价得分按照下列公式计算，报价得分=(评标基准价／投标报价)×30； 3.小数位数：得分保留至小数点后一位，小数点后第二位四舍五入； 4.无效报价：投标报价超过采购预算的为无效投标。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详见附件：响应文件签署人身份证明.docx</w:t>
      </w:r>
    </w:p>
    <w:p>
      <w:pPr>
        <w:pStyle w:val="null3"/>
        <w:ind w:firstLine="960"/>
      </w:pPr>
      <w:r>
        <w:rPr>
          <w:rFonts w:ascii="仿宋_GB2312" w:hAnsi="仿宋_GB2312" w:cs="仿宋_GB2312" w:eastAsia="仿宋_GB2312"/>
        </w:rPr>
        <w:t>详见附件：业绩相关证明材料.docx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12" Target="media/image7.png" Type="http://schemas.openxmlformats.org/officeDocument/2006/relationships/image"/><Relationship Id="rId13" Target="media/image8.png" Type="http://schemas.openxmlformats.org/officeDocument/2006/relationships/image"/><Relationship Id="rId14" Target="media/image9.png" Type="http://schemas.openxmlformats.org/officeDocument/2006/relationships/image"/><Relationship Id="rId15" Target="media/image10.png" Type="http://schemas.openxmlformats.org/officeDocument/2006/relationships/image"/><Relationship Id="rId16" Target="media/image11.png" Type="http://schemas.openxmlformats.org/officeDocument/2006/relationships/image"/><Relationship Id="rId17" Target="media/image12.png" Type="http://schemas.openxmlformats.org/officeDocument/2006/relationships/image"/><Relationship Id="rId18" Target="media/image13.png" Type="http://schemas.openxmlformats.org/officeDocument/2006/relationships/image"/><Relationship Id="rId19" Target="media/image14.png" Type="http://schemas.openxmlformats.org/officeDocument/2006/relationships/image"/><Relationship Id="rId2" Target="settings.xml" Type="http://schemas.openxmlformats.org/officeDocument/2006/relationships/settings"/><Relationship Id="rId20" Target="media/image15.png" Type="http://schemas.openxmlformats.org/officeDocument/2006/relationships/image"/><Relationship Id="rId21" Target="media/image16.png" Type="http://schemas.openxmlformats.org/officeDocument/2006/relationships/image"/><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