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版本号：ZJHZ-ZC25001420250610001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劳动教育实践基地（农场）基础设施改造项目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ZJHZ-ZC250014</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劳动教育实践基地（农场）基础设施改造项目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劳动教育实践基地（农场）基础设施改造项目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拆除原有旱厕，新建旱厕，楼层间卫生间改造，南院主干道原砂夹石路基修整碾压，南院机耕道铺设100mm厚砂夹石垫层，环南院围墙混合道路基回填400mm厚砂夹石垫层并铺设透水砖，南院主干道安装防撞护栏，南院改建蓄水池，南院水泵房安装变频控制器及加压水泵及配套给排水电气设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采购包1（劳动教育实践基地（农场）基础设施改造项目）：属于专门面向中小企业采购。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2、汉中市政府采购供应商资格承诺函：供应商须提供《汉中市政府采购供应商资格承诺函》</w:t>
      </w:r>
    </w:p>
    <w:p>
      <w:pPr>
        <w:pStyle w:val="null3"/>
      </w:pPr>
      <w:r>
        <w:rPr>
          <w:rFonts w:ascii="仿宋_GB2312" w:hAnsi="仿宋_GB2312" w:cs="仿宋_GB2312" w:eastAsia="仿宋_GB2312"/>
        </w:rPr>
        <w:t>3、企业资质要求：供应商须具备建设行政主管部门核发的建筑工程施工总承包三级及以上资质，具有有效的安全生产许可证</w:t>
      </w:r>
    </w:p>
    <w:p>
      <w:pPr>
        <w:pStyle w:val="null3"/>
      </w:pPr>
      <w:r>
        <w:rPr>
          <w:rFonts w:ascii="仿宋_GB2312" w:hAnsi="仿宋_GB2312" w:cs="仿宋_GB2312" w:eastAsia="仿宋_GB2312"/>
        </w:rPr>
        <w:t>4、项目负责人：拟派项目负责人具有建筑工程专业二级及以上注册建造师证，且具有有效的安全生产考核合格（B）证，且未担任其他在建工程（须提供无在建工程的承诺函）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采购包1：413,324.36元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说明：签订合同时约定</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代理服务费收费标准：参照《国家发展改革委关于降低部分建设项目收费标准规范收费行为等有关问题的通知》（发改价格[2011]534号）文件</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413,324.36</w:t>
      </w:r>
    </w:p>
    <w:p>
      <w:pPr>
        <w:pStyle w:val="null3"/>
      </w:pPr>
      <w:r>
        <w:rPr>
          <w:rFonts w:ascii="仿宋_GB2312" w:hAnsi="仿宋_GB2312" w:cs="仿宋_GB2312" w:eastAsia="仿宋_GB2312"/>
        </w:rPr>
        <w:t>采购包最高限价（元）: 413,324.36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413,324.36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拆除原有旱厕，新建旱厕，楼层间卫生间改造，南院主干道原砂夹石路基修整碾压，南院机耕道铺设</w:t>
            </w:r>
            <w:r>
              <w:rPr>
                <w:rFonts w:ascii="仿宋_GB2312" w:hAnsi="仿宋_GB2312" w:cs="仿宋_GB2312" w:eastAsia="仿宋_GB2312"/>
                <w:sz w:val="21"/>
              </w:rPr>
              <w:t>100mm</w:t>
            </w:r>
            <w:r>
              <w:rPr>
                <w:rFonts w:ascii="仿宋_GB2312" w:hAnsi="仿宋_GB2312" w:cs="仿宋_GB2312" w:eastAsia="仿宋_GB2312"/>
                <w:sz w:val="21"/>
              </w:rPr>
              <w:t>厚砂夹石垫层，环南院围墙混合道路基回填</w:t>
            </w:r>
            <w:r>
              <w:rPr>
                <w:rFonts w:ascii="仿宋_GB2312" w:hAnsi="仿宋_GB2312" w:cs="仿宋_GB2312" w:eastAsia="仿宋_GB2312"/>
                <w:sz w:val="21"/>
              </w:rPr>
              <w:t>400mm</w:t>
            </w:r>
            <w:r>
              <w:rPr>
                <w:rFonts w:ascii="仿宋_GB2312" w:hAnsi="仿宋_GB2312" w:cs="仿宋_GB2312" w:eastAsia="仿宋_GB2312"/>
                <w:sz w:val="21"/>
              </w:rPr>
              <w:t>厚砂夹石垫层并铺设透水砖，南院主干道安装防撞护栏，南院改建蓄水池，南院水泵房安装变频控制器及加压水泵及配套给排水电气设施等</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拆除墙面综合单价暂定800元/项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2009《陕西省建筑工程工程量清单计价规则》</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拟派项目负责人具有建筑工程专业二级及以上注册建造师证，且具有有效的安全生产考核合格（B）证，且未担任其他在建工程（须提供无在建工程的承诺函）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w:t>
            </w:r>
          </w:p>
        </w:tc>
        <w:tc>
          <w:tcPr>
            <w:tcW w:type="dxa" w:w="3322"/>
          </w:tcPr>
          <w:p>
            <w:pPr>
              <w:pStyle w:val="null3"/>
            </w:pPr>
            <w:r>
              <w:rPr>
                <w:rFonts w:ascii="仿宋_GB2312" w:hAnsi="仿宋_GB2312" w:cs="仿宋_GB2312" w:eastAsia="仿宋_GB2312"/>
              </w:rPr>
              <w:t>签字盖章符合磋商文件要求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w:t>
            </w:r>
          </w:p>
        </w:tc>
        <w:tc>
          <w:tcPr>
            <w:tcW w:type="dxa" w:w="3322"/>
          </w:tcPr>
          <w:p>
            <w:pPr>
              <w:pStyle w:val="null3"/>
            </w:pPr>
            <w:r>
              <w:rPr>
                <w:rFonts w:ascii="仿宋_GB2312" w:hAnsi="仿宋_GB2312" w:cs="仿宋_GB2312" w:eastAsia="仿宋_GB2312"/>
              </w:rPr>
              <w:t>技术标准符合磋商文件要求，权利义务符合磋商标文件要求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的施工案内容包含①施工部署，②实施方案及技术方法③重点难点分析及技术措施。评审标准：方案内容完整、可实施性强、项目针对性强得12-9.1分，内容较完整，实施性一般，有针对性得9-5.1分，内容不够完整，实施性较差，针对性较差得5-0.1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确保工程质量的措施</w:t>
            </w:r>
          </w:p>
        </w:tc>
        <w:tc>
          <w:tcPr>
            <w:tcW w:type="dxa" w:w="2492"/>
          </w:tcPr>
          <w:p>
            <w:pPr>
              <w:pStyle w:val="null3"/>
            </w:pPr>
            <w:r>
              <w:rPr>
                <w:rFonts w:ascii="仿宋_GB2312" w:hAnsi="仿宋_GB2312" w:cs="仿宋_GB2312" w:eastAsia="仿宋_GB2312"/>
              </w:rPr>
              <w:t>针对本项目的质量措施包含①质量目标，②质量管理体系③质量管理制度④质量保障措施。评审标准：方案内容完整、可实施性强、项目针对性强得8-6.1分，内容较完整，实施性一般，有针对性得6-3.1分，内容不够完整，实施性较差，针对性较差得3-0.1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确保安全施工的措施</w:t>
            </w:r>
          </w:p>
        </w:tc>
        <w:tc>
          <w:tcPr>
            <w:tcW w:type="dxa" w:w="2492"/>
          </w:tcPr>
          <w:p>
            <w:pPr>
              <w:pStyle w:val="null3"/>
            </w:pPr>
            <w:r>
              <w:rPr>
                <w:rFonts w:ascii="仿宋_GB2312" w:hAnsi="仿宋_GB2312" w:cs="仿宋_GB2312" w:eastAsia="仿宋_GB2312"/>
              </w:rPr>
              <w:t>针对本项目的安全措施内容包含①安全目标，②安全管理体系③安全管理制度④安全保障措施⑤应急预案。评审标准：方案内容完整、可实施性强、项目针对性强得8-6.1分，内容较完整，实施性一般，有针对性得6-3.1分，内容不够完整，实施性较差，针对性较差得3-0.1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针对本项目的环境保护内容包含①文明施工体系及保证措施，②环境保护体系及措施。评审标准：方案内容完整、可实施性强、项目针对性强得8-6.1分，内容较完整，实施性一般，有针对性得6-3.1分，内容不够完整，实施性较差，针对性较差得3-0.1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进度计划及保证措施</w:t>
            </w:r>
          </w:p>
        </w:tc>
        <w:tc>
          <w:tcPr>
            <w:tcW w:type="dxa" w:w="2492"/>
          </w:tcPr>
          <w:p>
            <w:pPr>
              <w:pStyle w:val="null3"/>
            </w:pPr>
            <w:r>
              <w:rPr>
                <w:rFonts w:ascii="仿宋_GB2312" w:hAnsi="仿宋_GB2312" w:cs="仿宋_GB2312" w:eastAsia="仿宋_GB2312"/>
              </w:rPr>
              <w:t>针对本项目的进度措施内容包含①进度计划，②进度保证措施。评审标准：方案内容完整、可实施性强、项目针对性强得8-6.1分，内容较完整，实施性一般，有针对性得6-3.1分，内容不够完整，实施性较差，针对性较差得3-0.1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劳动力及机械配置</w:t>
            </w:r>
          </w:p>
        </w:tc>
        <w:tc>
          <w:tcPr>
            <w:tcW w:type="dxa" w:w="2492"/>
          </w:tcPr>
          <w:p>
            <w:pPr>
              <w:pStyle w:val="null3"/>
            </w:pPr>
            <w:r>
              <w:rPr>
                <w:rFonts w:ascii="仿宋_GB2312" w:hAnsi="仿宋_GB2312" w:cs="仿宋_GB2312" w:eastAsia="仿宋_GB2312"/>
              </w:rPr>
              <w:t>针对本项目的资源配置内容包含①工种人数及进场计划，②机械设备型号、数量配备计划。评审标准：方案内容完整、可实施性强、项目针对性强得6-5.1分，内容较完整，实施性一般，有针对性得5-3.1分，内容不够完整，实施性较差，针对性较差得3-0.1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（2022年1月1日-至今）每承担1个类似工程施工业绩（以合同协议书签订日期为准）得3分，最高得9分。 注：提交合同协议书、中标（成交）通知书复印件并加盖供应商公章，未提供不得分。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1、项目负责人具有中级及以上职称得1分，其余不得分。 2、技术负责人具有高级职称得2分，中级职称得1分，其余不得分； 3、具有安全员、施工员、质量员、材料员、资料员且证件（提供身份证、岗位证）齐全有效；每提供1个得1分，最高得5分。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具有有效的质量管理体系、环境管理体系、职业安全健康管理体系认证证书得3分，每缺少一项扣1分。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满足磋商文件要求的最终的最低报价为磋商基准价，其价格为满分。其他供应商的报价得分按下列公式计算: 报价得分=(磋商基准价／最终报价)×30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