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版本号：TZZB-HZ-2025152C20250610001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校园给水管网铺设项目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TZZB-HZ-2025152C</w:t>
      </w:r>
      <w:r>
        <w:br/>
      </w:r>
      <w:r>
        <w:br/>
      </w:r>
      <w:r>
        <w:br/>
      </w:r>
    </w:p>
    <w:p>
      <w:pPr>
        <w:pStyle w:val="null3"/>
        <w:jc w:val="center"/>
        <w:outlineLvl w:val="2"/>
      </w:pPr>
      <w:r>
        <w:rPr>
          <w:rFonts w:ascii="仿宋_GB2312" w:hAnsi="仿宋_GB2312" w:cs="仿宋_GB2312" w:eastAsia="仿宋_GB2312"/>
          <w:sz w:val="28"/>
          <w:b/>
        </w:rPr>
        <w:t>汉中职业技术学院</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汉中职业技术学院</w:t>
      </w:r>
      <w:r>
        <w:rPr>
          <w:rFonts w:ascii="仿宋_GB2312" w:hAnsi="仿宋_GB2312" w:cs="仿宋_GB2312" w:eastAsia="仿宋_GB2312"/>
        </w:rPr>
        <w:t>委托，拟对</w:t>
      </w:r>
      <w:r>
        <w:rPr>
          <w:rFonts w:ascii="仿宋_GB2312" w:hAnsi="仿宋_GB2312" w:cs="仿宋_GB2312" w:eastAsia="仿宋_GB2312"/>
        </w:rPr>
        <w:t>校园给水管网铺设项目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TZZB-HZ-2025152C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校园给水管网铺设项目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给排水管沟开挖，透水砖路面及沥青路面破除并恢复，敷设 DN200PE 给水管，安装电子浮球阀原管沟内搭设支架，种植小叶女贞，铺种草皮等（详见工程量清单）；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采购包1（汉中职业技术学院校园给水管网铺设项目）：属于专门面向中小企业采购。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授权代表身份证明：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3、汉中市政府采购供应商资格承诺函：供应商须提供《汉中市政府采购供应商资格承诺函》；</w:t>
      </w:r>
    </w:p>
    <w:p>
      <w:pPr>
        <w:pStyle w:val="null3"/>
      </w:pPr>
      <w:r>
        <w:rPr>
          <w:rFonts w:ascii="仿宋_GB2312" w:hAnsi="仿宋_GB2312" w:cs="仿宋_GB2312" w:eastAsia="仿宋_GB2312"/>
        </w:rPr>
        <w:t>4、企业资质要求：供应商须具备建设行政主管部门核发的建筑工程施工总承包三级及以上资质，具有有效的安全生产许可证;</w:t>
      </w:r>
    </w:p>
    <w:p>
      <w:pPr>
        <w:pStyle w:val="null3"/>
      </w:pPr>
      <w:r>
        <w:rPr>
          <w:rFonts w:ascii="仿宋_GB2312" w:hAnsi="仿宋_GB2312" w:cs="仿宋_GB2312" w:eastAsia="仿宋_GB2312"/>
        </w:rPr>
        <w:t>5、项目经理资质要求：拟派项目经理须具备建筑工程专业二级及以上注册建造师资格，并具有行业主管部门核发的安全生产考核合格B证，且无在建项目(出具无在建承诺书）;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汉中市汉台区宗营镇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李安琪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15522229934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汉中市汉台区西一环路蓝天御苑小区商铺二层门面房南侧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0916-8897702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采购包1：391,428.95元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收取依据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代理服务费缴纳账户户名：同正项目管理有限公司汉中分公司； 开户行：中国建设银行股份有限公司汉中北环路支行；账号：6105 0165 5200 0000 0101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汉中职业技术学院</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联系人：王丽</w:t>
      </w:r>
    </w:p>
    <w:p>
      <w:pPr>
        <w:pStyle w:val="null3"/>
      </w:pPr>
      <w:r>
        <w:rPr>
          <w:rFonts w:ascii="仿宋_GB2312" w:hAnsi="仿宋_GB2312" w:cs="仿宋_GB2312" w:eastAsia="仿宋_GB2312"/>
        </w:rPr>
        <w:t>联系电话：0916-8897702</w:t>
      </w:r>
    </w:p>
    <w:p>
      <w:pPr>
        <w:pStyle w:val="null3"/>
      </w:pPr>
      <w:r>
        <w:rPr>
          <w:rFonts w:ascii="仿宋_GB2312" w:hAnsi="仿宋_GB2312" w:cs="仿宋_GB2312" w:eastAsia="仿宋_GB2312"/>
        </w:rPr>
        <w:t>地址：汉中市汉台区西一环路蓝天御苑小区商铺二层门面房南侧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391,428.95</w:t>
      </w:r>
    </w:p>
    <w:p>
      <w:pPr>
        <w:pStyle w:val="null3"/>
      </w:pPr>
      <w:r>
        <w:rPr>
          <w:rFonts w:ascii="仿宋_GB2312" w:hAnsi="仿宋_GB2312" w:cs="仿宋_GB2312" w:eastAsia="仿宋_GB2312"/>
        </w:rPr>
        <w:t>采购包最高限价（元）: 391,428.95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391,428.95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工程概况：给排水管沟开挖，透水砖路面及沥青路面破除并恢复，敷设 DN200PE 给水管，安装电子浮球阀原管沟内搭设支架，种植小叶女贞，铺种草皮等（详见工程量清单）；</w:t>
            </w:r>
            <w:r>
              <w:br/>
            </w: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编制依据：2009《陕西省建筑工程工程量清单计价规则》;</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商务要求（本项为实质性响应要求，不得负偏离） 1.工期：30天。 2.质量要求：达到合格标准。 3.缺陷责任期：自竣工验收合格之日起满2年。 4.质量保修期：自竣工验收合格之日起满2年。 5、合同支付约定： 5.1付款条件说明:甲方在本合同签订生效后 ，达到付款条件起 10 日内，支付合同总金额的 40%； 5.2付款条件说明:施工完成并验收合格后 ，达到付款条件起 30 日内，支付合同总金额的 57%； 5.3付款条件说明:质保期满后，达到付款条件起 20 日内，支付合同总金额的 3%。 6.施工要求： 6.1遵守国家相关法律、法规，遵守国家相关技术规范； 6.2所选材料必须保证质量可靠、进货渠道正常，符合国家环保等相关标准，满足施工要求； 6.3工程质量符合国家有关规范，确保达到合格； 6.4遵守有关施工规范和安全操作规程，采取有效的安全保障措施，确保施工安全，包括悬挂警示标牌、装设围栏、配备安全人员等，并承担事故的全部费用和责任； 6.5施工单位必须服从当地对治安、卫生、环保、社会保险等工程建设的统一管理，并按有关规定交纳费用以及因违反相关规定而造成的罚款； 6.6爱护采购单位设施设备，不能为施工方便未经甲方书面同意损坏采购方设施设备； 6.7供应商自行办理垃圾清理手续，遵守当地政府垃圾分类处理有关规定，承担自行处置不当导致的全部费用和责任； 6.8在施工期间，成交供应商必须注意校园内人员安全，加强安全措施，并对施工人员进行安全教育。施工人员必须持证上岗。 7.质量验收标准或规范: 7.1国家现行有关法律、法规、环保和技术指标； 7.2本项目施工合同； 7.3有关政府部门的规定； 7.4双方约定的其他验收标准。 8.项目检验与验收: 8.1成交供应商向采购人提交项目实施过程中的所有资料； 8.2验收须以合同、磋商文件及响应文件、澄清、及国家相应的标准、规范等为依据。 9.合同的变更、中止、终止: 合同一经签订，不得擅自变更、中止或者终止合同。对确需变更、调整或者中止、终止合同的，由双方协商解决。 10.合同争议的解决: 合同在履行过程中发生的争议，当事人双方应协商解决，协商达不成一致时，可向采购方所在地仲裁委员会申请仲裁或者向人民法院提请诉讼。 11.违约责任: 11.1按《中华人民共和国政府采购法》《中华人民共和国民法典》中的相关条款执行。 11.2未按要求提供材料、质量、环保标准不能满足技术要求的，施工方必须无条件更换，否则采购单位有权终止合同，并对施工方的违约行为报监管机构进行相应的处罚。</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1.特别注意:为顺利推进政府采购电子化交易平台应用工作，供应商需要在线提交所有通过电子化交易平台实施的政府采购项目的磋商响应文件。 2.成交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线下递交响应文件地点：汉中市汉台区西一环路蓝天御苑小区商铺二层门面房南侧。 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供应商需在项目电子化交易系统中按要求上传《汉中市政府采购供应商资格承诺函》并进行电子签章。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供应商须具备建设行政主管部门核发的建筑工程施工总承包三级及以上资质，具有有效的安全生产许可证;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拟派项目经理须具备建筑工程专业二级及以上注册建造师资格，并具有行业主管部门核发的安全生产考核合格B证，且无在建项目(出具无在建承诺书）;</w:t>
            </w:r>
          </w:p>
        </w:tc>
        <w:tc>
          <w:tcPr>
            <w:tcW w:type="dxa" w:w="1661"/>
          </w:tcPr>
          <w:p>
            <w:pPr>
              <w:pStyle w:val="null3"/>
            </w:pPr>
            <w:r>
              <w:rPr>
                <w:rFonts w:ascii="仿宋_GB2312" w:hAnsi="仿宋_GB2312" w:cs="仿宋_GB2312" w:eastAsia="仿宋_GB2312"/>
              </w:rPr>
              <w:t>供应商应提交的相关资格证明材料.docx 项目经理简历表.docx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已标价工程量清单.docx 中小企业声明函 商务要求应答表.docx 响应文件封面 施工设备配置表.docx 供应商应提交的相关资格证明材料.docx 残疾人福利性单位声明函 总实施方案.docx 报价函 标的清单 供应商类似项目业绩一览表 拟派项目团队人员配置表.docx 项目经理简历表.docx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磋商响应文件语言、计量单位、报价货币</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已标价工程量清单.docx 中小企业声明函 商务要求应答表.docx 响应文件封面 施工设备配置表.docx 供应商应提交的相关资格证明材料.docx 残疾人福利性单位声明函 总实施方案.docx 报价函 标的清单 供应商类似项目业绩一览表 拟派项目团队人员配置表.docx 项目经理简历表.docx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已标价工程量清单.docx 中小企业声明函 商务要求应答表.docx 响应文件封面 施工设备配置表.docx 供应商应提交的相关资格证明材料.docx 残疾人福利性单位声明函 总实施方案.docx 报价函 标的清单 供应商类似项目业绩一览表 拟派项目团队人员配置表.docx 项目经理简历表.docx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实质性要求全面响应，不能有任何采购人不能接受的附加条件</w:t>
            </w:r>
          </w:p>
        </w:tc>
        <w:tc>
          <w:tcPr>
            <w:tcW w:type="dxa" w:w="1661"/>
          </w:tcPr>
          <w:p>
            <w:pPr>
              <w:pStyle w:val="null3"/>
            </w:pPr>
            <w:r>
              <w:rPr>
                <w:rFonts w:ascii="仿宋_GB2312" w:hAnsi="仿宋_GB2312" w:cs="仿宋_GB2312" w:eastAsia="仿宋_GB2312"/>
              </w:rPr>
              <w:t>已标价工程量清单.docx 中小企业声明函 商务要求应答表.docx 响应文件封面 施工设备配置表.docx 供应商应提交的相关资格证明材料.docx 残疾人福利性单位声明函 总实施方案.docx 报价函 标的清单 供应商类似项目业绩一览表 拟派项目团队人员配置表.docx 项目经理简历表.docx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供应商应提交的相关资格证明材料.docx 总实施方案.docx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对本项目提供的项目实施方案进行综合评审。实施方案详细、可行，完全满足项目实施的得7.1-10分；实施方案较详细、较可行，较满足项目实施的得3.1-7分；实施方案基本详细、基本可行，基本满足项目实施的得1-3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对本项目提供的施工安全保证措施进行综合评审。安全管理目标明确，安全保证措施合理、可行得4.1-6分；安全管理目标较明确，安全保证措施较合理、较可行得2.1-4分；安全管理目标基本明确，安全保证措施基本合理、基本可行得1-2分；未提供此项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对本项目提供的文明施工措施进行综合评审。措施合理，完全满足项目实施得4.1-6分；措施较合理，较满足项目实施得2.1-4分；措施基本合理，基本满足项目实施得1-2分；未提供此项内容不得分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对本项目环境保护措施进行综合评审。措施详细、合理、可行得4.1-6分；措施较详细、较合理、较可行得2.1-4分；措施基本详细、基本合理、基本可行得1-2分；未提供此项内容不得分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工期的技术组织措施</w:t>
            </w:r>
          </w:p>
        </w:tc>
        <w:tc>
          <w:tcPr>
            <w:tcW w:type="dxa" w:w="2492"/>
          </w:tcPr>
          <w:p>
            <w:pPr>
              <w:pStyle w:val="null3"/>
            </w:pPr>
            <w:r>
              <w:rPr>
                <w:rFonts w:ascii="仿宋_GB2312" w:hAnsi="仿宋_GB2312" w:cs="仿宋_GB2312" w:eastAsia="仿宋_GB2312"/>
              </w:rPr>
              <w:t>对本项目工期的技术组织措施进行综合评审。技术组织措施详细，工期进度保证措施合理得4.1-5分；技术组织措施较详细，工期进度保证措施较合理得2.1-4分；技术组织措施基本详细，工期进度保证措施基本合理得1-2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施工设备配置</w:t>
            </w:r>
          </w:p>
        </w:tc>
        <w:tc>
          <w:tcPr>
            <w:tcW w:type="dxa" w:w="2492"/>
          </w:tcPr>
          <w:p>
            <w:pPr>
              <w:pStyle w:val="null3"/>
            </w:pPr>
            <w:r>
              <w:rPr>
                <w:rFonts w:ascii="仿宋_GB2312" w:hAnsi="仿宋_GB2312" w:cs="仿宋_GB2312" w:eastAsia="仿宋_GB2312"/>
              </w:rPr>
              <w:t>对拟投入本项目的主要施工设备配置情况进行综合评审。施工设备配备齐全，合理得4.1-5分；施工设备配备较齐全，较合理得2.1-4分；施工设备配备基本齐全，基本合理得1-2分；未提供此项内容不得分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施工设备配置表.docx</w:t>
            </w:r>
          </w:p>
        </w:tc>
      </w:tr>
      <w:tr>
        <w:tc>
          <w:tcPr>
            <w:tcW w:type="dxa" w:w="831"/>
            <w:vMerge/>
          </w:tcPr>
          <w:p/>
        </w:tc>
        <w:tc>
          <w:tcPr>
            <w:tcW w:type="dxa" w:w="1661"/>
          </w:tcPr>
          <w:p>
            <w:pPr>
              <w:pStyle w:val="null3"/>
            </w:pPr>
            <w:r>
              <w:rPr>
                <w:rFonts w:ascii="仿宋_GB2312" w:hAnsi="仿宋_GB2312" w:cs="仿宋_GB2312" w:eastAsia="仿宋_GB2312"/>
              </w:rPr>
              <w:t>质量目标及措施</w:t>
            </w:r>
          </w:p>
        </w:tc>
        <w:tc>
          <w:tcPr>
            <w:tcW w:type="dxa" w:w="2492"/>
          </w:tcPr>
          <w:p>
            <w:pPr>
              <w:pStyle w:val="null3"/>
            </w:pPr>
            <w:r>
              <w:rPr>
                <w:rFonts w:ascii="仿宋_GB2312" w:hAnsi="仿宋_GB2312" w:cs="仿宋_GB2312" w:eastAsia="仿宋_GB2312"/>
              </w:rPr>
              <w:t>对本项目质量目标及措施进行综合评审。质量目标明确，措施合理得4.1-5分；质量目标较明确，措施较合理得2.1-4分；质量目标基本明确，措施基本合理得1-2分；未提供此项内容不得分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劳动力配备</w:t>
            </w:r>
          </w:p>
        </w:tc>
        <w:tc>
          <w:tcPr>
            <w:tcW w:type="dxa" w:w="2492"/>
          </w:tcPr>
          <w:p>
            <w:pPr>
              <w:pStyle w:val="null3"/>
            </w:pPr>
            <w:r>
              <w:rPr>
                <w:rFonts w:ascii="仿宋_GB2312" w:hAnsi="仿宋_GB2312" w:cs="仿宋_GB2312" w:eastAsia="仿宋_GB2312"/>
              </w:rPr>
              <w:t>对本项目劳动力配备进行综合评审。劳动力配备合理、分工明确得4.1-5分；劳动力配备较合理、分工较明确得2.1-4分；劳动力配备基本合理、分工基本明确得1-2分；未提供此项内容不得分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项目团队人员配置</w:t>
            </w:r>
          </w:p>
        </w:tc>
        <w:tc>
          <w:tcPr>
            <w:tcW w:type="dxa" w:w="2492"/>
          </w:tcPr>
          <w:p>
            <w:pPr>
              <w:pStyle w:val="null3"/>
            </w:pPr>
            <w:r>
              <w:rPr>
                <w:rFonts w:ascii="仿宋_GB2312" w:hAnsi="仿宋_GB2312" w:cs="仿宋_GB2312" w:eastAsia="仿宋_GB2312"/>
              </w:rPr>
              <w:t>对本项目项目团队人员配备进行综合评审。项目团队人员配备合理，分工明确，职责清晰得5.1-7分；项目团队人员配备较合理，分工较明确，职责较清晰得2.1-5分；项目团队人员配备基本合理，分工基本明确，职责基本清晰得1-2分；未提供此项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拟派项目团队人员配置表.docx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项目经理具备建筑工程相关专业高级职称得5分,中级职称得2.5分；未提供此项内容不得分。 注：响应文件内附相关资料复印件并加盖公章。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项目经理简历表.docx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供应商提供2022年6月1日至今完成的类似项目业绩，每提供一个合格业绩得2.5分，满分5分。未提供此项内容不得分。 注：业绩以中标/成交通知书或合同（协议书)为准，响应文件内附相关资料复印件并加盖公章。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供应商针对本项目特点提供切实可行的施工安全承诺、文明施工承诺、施工质量保证承诺、工期保证承诺、施工环境承诺等，保证按时按质按量完成本项目。每提供一项承诺得1分，满分5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1、上限为采购预算价，即报价大于上限价视为无效报价； 2、以满足本次磋商文件要求的最低报价为评审基准价，其价格为满分； 3、磋商供应商报价得分=（评审基准价/报价）×30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详见附件：拟派项目团队人员配置表.docx</w:t>
      </w:r>
    </w:p>
    <w:p>
      <w:pPr>
        <w:pStyle w:val="null3"/>
        <w:ind w:firstLine="960"/>
      </w:pPr>
      <w:r>
        <w:rPr>
          <w:rFonts w:ascii="仿宋_GB2312" w:hAnsi="仿宋_GB2312" w:cs="仿宋_GB2312" w:eastAsia="仿宋_GB2312"/>
        </w:rPr>
        <w:t>详见附件：商务要求应答表.docx</w:t>
      </w:r>
    </w:p>
    <w:p>
      <w:pPr>
        <w:pStyle w:val="null3"/>
        <w:ind w:firstLine="960"/>
      </w:pPr>
      <w:r>
        <w:rPr>
          <w:rFonts w:ascii="仿宋_GB2312" w:hAnsi="仿宋_GB2312" w:cs="仿宋_GB2312" w:eastAsia="仿宋_GB2312"/>
        </w:rPr>
        <w:t>详见附件：项目经理简历表.docx</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详见附件：总实施方案.docx</w:t>
      </w:r>
    </w:p>
    <w:p>
      <w:pPr>
        <w:pStyle w:val="null3"/>
        <w:ind w:firstLine="960"/>
      </w:pPr>
      <w:r>
        <w:rPr>
          <w:rFonts w:ascii="仿宋_GB2312" w:hAnsi="仿宋_GB2312" w:cs="仿宋_GB2312" w:eastAsia="仿宋_GB2312"/>
        </w:rPr>
        <w:t>详见附件：施工设备配置表.docx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