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版本号：TZZB-HZ-2025151C20250623002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田径场修缮项目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TZZB-HZ-2025151C</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田径场修缮项目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TZZB-HZ-2025151C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田径场修缮项目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业技术学院田径场修缮项目位于汉中市汉台区宗营镇，主要建设内容包括铲除原田径场、足球场地面，新做足球场人工草坪，田径场铺设塑胶跑道、田径场围网立管及横管刷漆等(具体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4、企业资质要求：供应商须具备建设行政主管部门核发的建筑工程施工总承包三级及以上资质，具有有效的安全生产许可证:</w:t>
      </w:r>
    </w:p>
    <w:p>
      <w:pPr>
        <w:pStyle w:val="null3"/>
      </w:pPr>
      <w:r>
        <w:rPr>
          <w:rFonts w:ascii="仿宋_GB2312" w:hAnsi="仿宋_GB2312" w:cs="仿宋_GB2312" w:eastAsia="仿宋_GB2312"/>
        </w:rPr>
        <w:t>5、项目经理资质要求：拟派项目经理须具备建筑工程专业二级及以上注册建造师资格，并具有行业主管部门核发的安全生产考核合格B证，且无在建项目(出具无在建承诺书);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汉中市汉台区西一环路蓝天御苑小区商铺二层门面房南侧会议室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采购包1：3,662,630.34元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地址：汉中市汉台区西一环路蓝天御苑小区商铺二层门面房南侧会议室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3,662,630.34</w:t>
      </w:r>
    </w:p>
    <w:p>
      <w:pPr>
        <w:pStyle w:val="null3"/>
      </w:pPr>
      <w:r>
        <w:rPr>
          <w:rFonts w:ascii="仿宋_GB2312" w:hAnsi="仿宋_GB2312" w:cs="仿宋_GB2312" w:eastAsia="仿宋_GB2312"/>
        </w:rPr>
        <w:t>采购包最高限价（元）: 3,662,630.34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3,662,630.34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汉中职业技术学院田径场修缮项目位于汉中市汉台区宗营镇，主要建设内容包括铲除原田径场、足球场地面，新做足球场人工草坪，田径场铺设塑胶跑道、田径场围网立管及横管刷漆等（具体详见本项目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编制依据：</w:t>
            </w:r>
            <w:r>
              <w:br/>
            </w:r>
            <w:r>
              <w:rPr>
                <w:rFonts w:ascii="仿宋_GB2312" w:hAnsi="仿宋_GB2312" w:cs="仿宋_GB2312" w:eastAsia="仿宋_GB2312"/>
              </w:rPr>
              <w:t xml:space="preserve"> 1、《陕西省建设工程工程量清单计价规则(2009年)》、《陕西省建筑装饰工程消耗量定额(2004年)》、《陕西省安装工程消耗量定额(2004)》、《陕西省市政园林绿化工程消耗量定额(2004年)》、2009年《陕西省建设工程量清单计价费率》及其配套的 2009年《目表》与相关计价文件;</w:t>
            </w:r>
            <w:r>
              <w:br/>
            </w:r>
            <w:r>
              <w:rPr>
                <w:rFonts w:ascii="仿宋_GB2312" w:hAnsi="仿宋_GB2312" w:cs="仿宋_GB2312" w:eastAsia="仿宋_GB2312"/>
              </w:rPr>
              <w:t xml:space="preserve"> 2、陕建发【2017】270号文件《关于增加建设工程扬尘治理专项措施费及综合人工单价的通知》;</w:t>
            </w:r>
            <w:r>
              <w:br/>
            </w:r>
            <w:r>
              <w:rPr>
                <w:rFonts w:ascii="仿宋_GB2312" w:hAnsi="仿宋_GB2312" w:cs="仿宋_GB2312" w:eastAsia="仿宋_GB2312"/>
              </w:rPr>
              <w:t xml:space="preserve"> 3、陕建发【2019】45 号文件《陕西省住房和城乡建设厅关于调整陕西省建设工程计价依据的通知》;</w:t>
            </w:r>
            <w:r>
              <w:br/>
            </w:r>
            <w:r>
              <w:rPr>
                <w:rFonts w:ascii="仿宋_GB2312" w:hAnsi="仿宋_GB2312" w:cs="仿宋_GB2312" w:eastAsia="仿宋_GB2312"/>
              </w:rPr>
              <w:t xml:space="preserve"> 4、陕建发【2019】1246号文件《关于陕西省落实建筑工人实名制管理计价依据的通知》;</w:t>
            </w:r>
            <w:r>
              <w:br/>
            </w:r>
            <w:r>
              <w:rPr>
                <w:rFonts w:ascii="仿宋_GB2312" w:hAnsi="仿宋_GB2312" w:cs="仿宋_GB2312" w:eastAsia="仿宋_GB2312"/>
              </w:rPr>
              <w:t xml:space="preserve"> 5、陕建发【2020】1097号文件《关于建设施工安全生产责任保险费用计价的通知》;</w:t>
            </w:r>
            <w:r>
              <w:br/>
            </w:r>
            <w:r>
              <w:rPr>
                <w:rFonts w:ascii="仿宋_GB2312" w:hAnsi="仿宋_GB2312" w:cs="仿宋_GB2312" w:eastAsia="仿宋_GB2312"/>
              </w:rPr>
              <w:t xml:space="preserve"> 6、陕建发【2021】1097号文件《关于调整房屋建筑和市政基础设施工程工程量清单计价综合人工单价的通知》;</w:t>
            </w:r>
            <w:r>
              <w:br/>
            </w:r>
            <w:r>
              <w:rPr>
                <w:rFonts w:ascii="仿宋_GB2312" w:hAnsi="仿宋_GB2312" w:cs="仿宋_GB2312" w:eastAsia="仿宋_GB2312"/>
              </w:rPr>
              <w:t xml:space="preserve"> 7、主要材料价格按《汉中建设工程造价信息(2025)》第4期;</w:t>
            </w:r>
            <w:r>
              <w:br/>
            </w:r>
            <w:r>
              <w:rPr>
                <w:rFonts w:ascii="仿宋_GB2312" w:hAnsi="仿宋_GB2312" w:cs="仿宋_GB2312" w:eastAsia="仿宋_GB2312"/>
              </w:rPr>
              <w:t xml:space="preserve"> 8、广联达 GCCP6.0。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商务要求（本项为实质性响应要求，不得负偏离） 1.工期：45日历天 2.质量要求：符合国家现行有关施工质量验收规范“合格”要求 3.缺陷责任期：自竣工验收合格之日起满2年 4.质量保修期：自竣工验收合格之日起满2年 5.合同支付约定： 5.1款条件说明:甲方在本合同签订生效后 ，达到付款条件起 10 日内，支付合同总金额的30%； 5.2付款条件说明:施工完成并验收合格后 ，达到付款条件起 30 日内，支付合同总金额的 67%； 5.3付款条件说明:质保期满后 ，达到付款条件起 20 日内，支付合同总金额的 3%。 6.施工要求： 6.1遵守国家相关法律、法规，遵守国家相关技术规范； 6.2所选材料必须保证质量可靠、进货渠道正常，符合国家环保等相关标准，满足施工要求； 6.3工程质量符合国家有关规范，确保达到合格； 6.4遵守有关施工规范和安全操作规程，采取有效的安全保障措施，确保施工安全，包括悬挂警示标牌、装设围栏、配备安全人员等，并承担事故的全部费用和责任； 6.5施工单位必须服从当地对治安、卫生、环保、社会保险等工程建设的统一管理，并按有关规定交纳费用以及因违反相关规定而造成的罚款； 6.6爱护采购方设施设备，不能为施工方便未经采购单位书面同意损坏采购方设施设备； 6.7成交供应商自行办理垃圾清理手续，遵守当地政府垃圾分类处理有关规定，承担自行处置不当导致的全部费用和责任； 6.8在施工期间，成交供应商必须注意校院内人员安全，加强安全措施，并对施工人员进行安全教育，施工人员必须持证上岗。 7.质量验收标准或规范： 7.1国家现行有关法律、法规、环保和技术指标； 7.2本项目施工合同； 7.3有关政府部门的规定； 7.4双方约定的其他验收标准。 8.项目检验与验收： 8.1成交供应商向采购人提交项目实施过程中的所有资料。 8.2验收须以合同、磋商文件及响应文件、澄清、及国家相应的标准、规范等为依据。 9.合同的变更、中止、终止： 合同一经签订，不得擅自变更、中止或者终止合同。对确需变更、调整或者中止、终止合同的，由双方协商解决。 10.合同争议的解决： 合同在履行过程中发生的争议，当事人双方应协商解决，协商达不成一致时，可向采购方所在地仲裁委员会申请仲裁或者向人民法院提请诉讼。 11.违约责任： 11.1按《中华人民共和国政府采购法》《中华人民共和国民法典》中的相关条款执行。 11.2未按要求提供材料、质量、环保标准不能满足技术要求的，施工方必须无条件更换，否则采购单位有权终止合同，并对施工方的违约行为报监管机构进行相应的处罚。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本项目不专门面向中心企业</w:t>
            </w:r>
          </w:p>
        </w:tc>
        <w:tc>
          <w:tcPr>
            <w:tcW w:type="dxa" w:w="3322"/>
          </w:tcPr>
          <w:p>
            <w:pPr>
              <w:pStyle w:val="null3"/>
            </w:pPr>
            <w:r>
              <w:rPr>
                <w:rFonts w:ascii="仿宋_GB2312" w:hAnsi="仿宋_GB2312" w:cs="仿宋_GB2312" w:eastAsia="仿宋_GB2312"/>
              </w:rPr>
              <w:t>对符合办法规定的小微企业报价给予扣除，用 扣除后的价格参加评标。监狱企业、残疾人福 利性单位等同于小微企业。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拟派项目经理须具备建筑工程专业二级及以上注册建造师资格，并具有行业主管部门核发的安全生产考核合格B证，且无在建项目(出具无在建承诺书);</w:t>
            </w:r>
          </w:p>
        </w:tc>
        <w:tc>
          <w:tcPr>
            <w:tcW w:type="dxa" w:w="1661"/>
          </w:tcPr>
          <w:p>
            <w:pPr>
              <w:pStyle w:val="null3"/>
            </w:pPr>
            <w:r>
              <w:rPr>
                <w:rFonts w:ascii="仿宋_GB2312" w:hAnsi="仿宋_GB2312" w:cs="仿宋_GB2312" w:eastAsia="仿宋_GB2312"/>
              </w:rPr>
              <w:t>供应商应提交的相关资格证明材料.docx 项目经理简历表.docx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项目经理简历表.docx 拟派项目团队人员配置表.docx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项目经理简历表.docx 拟派项目团队人员配置表.docx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项目经理简历表.docx 拟派项目团队人员配置表.docx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提供的项目实施方案进行综合评审。实施方案详细、可行，完全满足项目实施的得7.1-10分；实施方案较详细、较可行，较满足项目实施的得3.1-7分；实施方案基本详细、基本可行，基本满足项目实施的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对本项目提供的施工安全保证措施进行综合评审。安全管理目标明确，安全保证措施合理、可行得4.1-6分；安全管理目标较明确，安全保证措施较合理、较可行得2.1-4分；安全管理目标基本明确，安全保证措施基本合理、基本可行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对本项目提供的文明施工措施进行综合评审。措施合理，完全满足项目实施得4.1-6分；措施较合理，较满足项目实施得2.1-4分；措施基本合理，基本满足项目实施得1-2分；未提供此项内容不得分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对本项目环境保护措施进行综合评审。措施详细、合理、可行得4.1-6分；措施较详细、较合理、较可行得2.1-4分；措施基本详细、基本合理、基本可行得1-2分；未提供此项内容不得分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对本项目工期的技术组织措施进行综合评审。技术组织措施详细，工期进度保证措施合理得4.1-5分；技术组织措施较详细，工期进度保证措施较合理得2.1-4分；技术组织措施基本详细，工期进度保证措施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施工设备配置</w:t>
            </w:r>
          </w:p>
        </w:tc>
        <w:tc>
          <w:tcPr>
            <w:tcW w:type="dxa" w:w="2492"/>
          </w:tcPr>
          <w:p>
            <w:pPr>
              <w:pStyle w:val="null3"/>
            </w:pPr>
            <w:r>
              <w:rPr>
                <w:rFonts w:ascii="仿宋_GB2312" w:hAnsi="仿宋_GB2312" w:cs="仿宋_GB2312" w:eastAsia="仿宋_GB2312"/>
              </w:rPr>
              <w:t>对拟投入本项目的主要施工设备配置情况进行综合评审。施工设备配备齐全，合理得4.1-5分；施工设备配备较齐全，较合理得2.1-4分；施工设备配备基本齐全，基本合理得1-2分；未提供此项内容不得分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对本项目质量目标及措施进行综合评审。质量目标明确，措施合理得4.1-5分；质量目标较明确，措施较合理得2.1-4分；质量目标基本明确，措施基本合理得1-2分；未提供此项内容不得分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对本项目劳动力配备进行综合评审。劳动力配备合理、分工明确得4.1-5分；劳动力配备较合理、分工较明确得2.1-4分；劳动力配备基本合理、分工基本明确得1-2分；未提供此项内容不得分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项目团队人员配备合理，分工明确，职责清晰得5.1-7分；项目团队人员配备较合理，分工较明确，职责较清晰得2.1-5分；项目团队人员配备基本合理，分工基本明确，职责基本清晰得1-2分；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项目经理具备相建筑工程相关专业高级职称得5分,中级职称得2.5分；未提供此项内容不得分。 注：响应文件内附相关资料复印件并加盖公章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供应商提供2022年5月1日至今完成的类似项目业绩，每提供一个合格业绩得2.5分，满分5分。未提供此项内容不得分。 注：业绩以中标/成交通知书或合同（协议书)为准，响应文件内附相关资料复印件并加盖公章。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