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版本号：TXHZ-2025060120250711004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圣水派出所业务用房修缮改造项目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TXHZ-20250601</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圣水派出所业务用房修缮改造项目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TXHZ-20250601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圣水派出所业务用房修缮改造项目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派出所提档升级，完善功能区布局，对办公区、服务区、生活区、办案区进行调整，对民警备勤室进行改造；对备勤区域电路改造；建全“六小工程”，修缮民警厨房、餐厅、洗浴室和洗衣房，调整院内绿化，院墙修缮，业务楼外立面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采购包1（汉中市公安局南郑分局圣水派出所业务用房修缮改造项目）：属于专门面向小微企业采购。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2、授权书：法定代表人授权书原件及被授权人身份证原件（法定代表人直接参加投标只须提供法定代表人身份证原件）；</w:t>
      </w:r>
    </w:p>
    <w:p>
      <w:pPr>
        <w:pStyle w:val="null3"/>
      </w:pPr>
      <w:r>
        <w:rPr>
          <w:rFonts w:ascii="仿宋_GB2312" w:hAnsi="仿宋_GB2312" w:cs="仿宋_GB2312" w:eastAsia="仿宋_GB2312"/>
        </w:rPr>
        <w:t>3、供应商资质：供应商具备建筑工程施工总承包三级及以上资质或建筑装修装饰工程专业承包二级及以上资质，及有效的安全生产许可证</w:t>
      </w:r>
    </w:p>
    <w:p>
      <w:pPr>
        <w:pStyle w:val="null3"/>
      </w:pPr>
      <w:r>
        <w:rPr>
          <w:rFonts w:ascii="仿宋_GB2312" w:hAnsi="仿宋_GB2312" w:cs="仿宋_GB2312" w:eastAsia="仿宋_GB2312"/>
        </w:rPr>
        <w:t>4、拟派项目负责人资质和专业要求。：项目经理需具备建筑工程专业二级及以上注册建造师证书和安全生产考核合格证（B证），且无在建工程项目（提供承诺函）；</w:t>
      </w:r>
    </w:p>
    <w:p>
      <w:pPr>
        <w:pStyle w:val="null3"/>
      </w:pPr>
      <w:r>
        <w:rPr>
          <w:rFonts w:ascii="仿宋_GB2312" w:hAnsi="仿宋_GB2312" w:cs="仿宋_GB2312" w:eastAsia="仿宋_GB2312"/>
        </w:rPr>
        <w:t>5、供应商及项目经理信息查询：供应商及项目经理信息在“陕西省建筑市场监管与诚信信息发布平台”可查询；</w:t>
      </w:r>
    </w:p>
    <w:p>
      <w:pPr>
        <w:pStyle w:val="null3"/>
      </w:pPr>
      <w:r>
        <w:rPr>
          <w:rFonts w:ascii="仿宋_GB2312" w:hAnsi="仿宋_GB2312" w:cs="仿宋_GB2312" w:eastAsia="仿宋_GB2312"/>
        </w:rPr>
        <w:t>6、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7、联合体磋商：本项目不接受联合体磋商</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采购包1：771,913.00元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代理服务费收费标准：1、中标供应商在领取中标通知书前，须向采购代理机构一次性支付采购代理服务费。 2、采购代理服务费参照国家计委颁布的《招标代理服务收费管理暂行办法》（计价格【2002】1980号）、发改办价格【2003】857号规定的收取。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联系人：马女士</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771,913.00</w:t>
      </w:r>
    </w:p>
    <w:p>
      <w:pPr>
        <w:pStyle w:val="null3"/>
      </w:pPr>
      <w:r>
        <w:rPr>
          <w:rFonts w:ascii="仿宋_GB2312" w:hAnsi="仿宋_GB2312" w:cs="仿宋_GB2312" w:eastAsia="仿宋_GB2312"/>
        </w:rPr>
        <w:t>采购包最高限价（元）: 771,241.33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771,913.00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1、工程量清单(见附件）</w:t>
            </w:r>
          </w:p>
          <w:p>
            <w:pPr>
              <w:pStyle w:val="null3"/>
              <w:jc w:val="left"/>
            </w:pPr>
            <w:r>
              <w:rPr>
                <w:rFonts w:ascii="仿宋_GB2312" w:hAnsi="仿宋_GB2312" w:cs="仿宋_GB2312" w:eastAsia="仿宋_GB2312"/>
                <w:sz w:val="24"/>
                <w:b/>
                <w:color w:val="000000"/>
              </w:rPr>
              <w:t>2、招标范围：</w:t>
            </w:r>
            <w:r>
              <w:rPr>
                <w:rFonts w:ascii="仿宋_GB2312" w:hAnsi="仿宋_GB2312" w:cs="仿宋_GB2312" w:eastAsia="仿宋_GB2312"/>
                <w:sz w:val="24"/>
                <w:color w:val="000000"/>
              </w:rPr>
              <w:t>施工图设计范围内、工程量清单内的全部内容，（</w:t>
            </w:r>
            <w:r>
              <w:rPr>
                <w:rFonts w:ascii="仿宋_GB2312" w:hAnsi="仿宋_GB2312" w:cs="仿宋_GB2312" w:eastAsia="仿宋_GB2312"/>
                <w:sz w:val="24"/>
              </w:rPr>
              <w:t>详见该项目工程量清单</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3、承包方式：</w:t>
            </w:r>
            <w:r>
              <w:rPr>
                <w:rFonts w:ascii="仿宋_GB2312" w:hAnsi="仿宋_GB2312" w:cs="仿宋_GB2312" w:eastAsia="仿宋_GB2312"/>
                <w:sz w:val="24"/>
                <w:color w:val="000000"/>
              </w:rPr>
              <w:t>包工包料，包质量、包工期、包安全、包文明施工。</w:t>
            </w:r>
          </w:p>
          <w:p>
            <w:pPr>
              <w:pStyle w:val="null3"/>
              <w:jc w:val="left"/>
            </w:pPr>
            <w:r>
              <w:rPr>
                <w:rFonts w:ascii="仿宋_GB2312" w:hAnsi="仿宋_GB2312" w:cs="仿宋_GB2312" w:eastAsia="仿宋_GB2312"/>
                <w:sz w:val="24"/>
                <w:b/>
                <w:color w:val="000000"/>
              </w:rPr>
              <w:t>4、合同工期：</w:t>
            </w:r>
            <w:r>
              <w:rPr>
                <w:rFonts w:ascii="仿宋_GB2312" w:hAnsi="仿宋_GB2312" w:cs="仿宋_GB2312" w:eastAsia="仿宋_GB2312"/>
                <w:b/>
                <w:u w:val="single"/>
              </w:rPr>
              <w:t xml:space="preserve"> </w:t>
            </w:r>
            <w:r>
              <w:rPr>
                <w:rFonts w:ascii="仿宋_GB2312" w:hAnsi="仿宋_GB2312" w:cs="仿宋_GB2312" w:eastAsia="仿宋_GB2312"/>
                <w:sz w:val="24"/>
                <w:b/>
                <w:color w:val="000000"/>
                <w:u w:val="single"/>
              </w:rPr>
              <w:t>90</w:t>
            </w:r>
            <w:r>
              <w:rPr>
                <w:rFonts w:ascii="仿宋_GB2312" w:hAnsi="仿宋_GB2312" w:cs="仿宋_GB2312" w:eastAsia="仿宋_GB2312"/>
                <w:sz w:val="24"/>
                <w:b/>
                <w:color w:val="000000"/>
              </w:rPr>
              <w:t>日历天</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b/>
                <w:color w:val="000000"/>
              </w:rPr>
              <w:t>5、质量标准：</w:t>
            </w:r>
          </w:p>
          <w:p>
            <w:pPr>
              <w:pStyle w:val="null3"/>
              <w:jc w:val="left"/>
            </w:pPr>
            <w:r>
              <w:rPr>
                <w:rFonts w:ascii="仿宋_GB2312" w:hAnsi="仿宋_GB2312" w:cs="仿宋_GB2312" w:eastAsia="仿宋_GB2312"/>
                <w:sz w:val="24"/>
                <w:b/>
                <w:color w:val="000000"/>
              </w:rPr>
              <w:t>本工程质量等级：合格。承包人严格按照国家颁发的施工验收规范及工程设计图纸要求进行施工，工程质量应达到国家或专业质量检验评定标准的合格条件。</w:t>
            </w:r>
          </w:p>
          <w:p>
            <w:pPr>
              <w:pStyle w:val="null3"/>
              <w:jc w:val="left"/>
            </w:pPr>
            <w:r>
              <w:rPr>
                <w:rFonts w:ascii="仿宋_GB2312" w:hAnsi="仿宋_GB2312" w:cs="仿宋_GB2312" w:eastAsia="仿宋_GB2312"/>
                <w:sz w:val="24"/>
                <w:b/>
                <w:color w:val="000000"/>
              </w:rPr>
              <w:t>6、安全文明施工及保险安全作业环境及安全施工措施所需费用包括在合同价内。</w:t>
            </w:r>
          </w:p>
          <w:p>
            <w:pPr>
              <w:pStyle w:val="null3"/>
              <w:jc w:val="left"/>
            </w:pPr>
            <w:r>
              <w:rPr>
                <w:rFonts w:ascii="仿宋_GB2312" w:hAnsi="仿宋_GB2312" w:cs="仿宋_GB2312" w:eastAsia="仿宋_GB2312"/>
                <w:sz w:val="24"/>
                <w:color w:val="000000"/>
              </w:rPr>
              <w:t>① 项目安全生产的达标目标及相应事项的约定：要求达到《建筑施工安全检查标准》（JGJ59-2011）标准 。</w:t>
            </w:r>
          </w:p>
          <w:p>
            <w:pPr>
              <w:pStyle w:val="null3"/>
              <w:jc w:val="left"/>
            </w:pPr>
            <w:r>
              <w:rPr>
                <w:rFonts w:ascii="仿宋_GB2312" w:hAnsi="仿宋_GB2312" w:cs="仿宋_GB2312" w:eastAsia="仿宋_GB2312"/>
                <w:sz w:val="24"/>
                <w:color w:val="000000"/>
              </w:rPr>
              <w:t>②承包人应履行安全职责，编制施工安全措施计划，并遵照执行。由于承包人原因在施工场地内及其毗邻地带造成的第三者人员伤亡和财产损失，全部由承包人负责赔偿。</w:t>
            </w:r>
          </w:p>
          <w:p>
            <w:pPr>
              <w:pStyle w:val="null3"/>
              <w:jc w:val="left"/>
            </w:pPr>
            <w:r>
              <w:rPr>
                <w:rFonts w:ascii="仿宋_GB2312" w:hAnsi="仿宋_GB2312" w:cs="仿宋_GB2312" w:eastAsia="仿宋_GB2312"/>
                <w:sz w:val="24"/>
                <w:color w:val="000000"/>
              </w:rPr>
              <w:t>③发包人、监理人对工程建设过程中的安全和文明施工实行监督、检查，如果承包人安全严重失控，发包人有权责令其停工整顿。</w:t>
            </w:r>
          </w:p>
          <w:p>
            <w:pPr>
              <w:pStyle w:val="null3"/>
              <w:jc w:val="left"/>
            </w:pPr>
            <w:r>
              <w:rPr>
                <w:rFonts w:ascii="仿宋_GB2312" w:hAnsi="仿宋_GB2312" w:cs="仿宋_GB2312" w:eastAsia="仿宋_GB2312"/>
                <w:sz w:val="24"/>
                <w:color w:val="000000"/>
              </w:rPr>
              <w:t>④承包人有责任保障施工中施工方人员及其其他人员的人身、财产和设备安全。承包人应健全安全制度，完善安全保障体系。</w:t>
            </w:r>
          </w:p>
          <w:p>
            <w:pPr>
              <w:pStyle w:val="null3"/>
              <w:jc w:val="left"/>
            </w:pPr>
            <w:r>
              <w:rPr>
                <w:rFonts w:ascii="仿宋_GB2312" w:hAnsi="仿宋_GB2312" w:cs="仿宋_GB2312" w:eastAsia="仿宋_GB2312"/>
                <w:sz w:val="24"/>
                <w:color w:val="000000"/>
              </w:rPr>
              <w:t>⑤承包人应指派一位常驻工地的专职安全专员专门处理安全事件及防止发生任何职工人身事故。这一工作人员应能胜任此项工作，并有权发布各种指示及采取防止事故发生的预防措施。</w:t>
            </w:r>
          </w:p>
          <w:p>
            <w:pPr>
              <w:pStyle w:val="null3"/>
              <w:jc w:val="left"/>
            </w:pPr>
            <w:r>
              <w:rPr>
                <w:rFonts w:ascii="仿宋_GB2312" w:hAnsi="仿宋_GB2312" w:cs="仿宋_GB2312" w:eastAsia="仿宋_GB2312"/>
                <w:sz w:val="24"/>
                <w:color w:val="000000"/>
              </w:rPr>
              <w:t>⑥合同当事人对文明施工的要求：按建设部制式合同中通用合同条款执行；另外按政府相关部门对施工现场的扬尘要求执行 。</w:t>
            </w:r>
          </w:p>
          <w:p>
            <w:pPr>
              <w:pStyle w:val="null3"/>
              <w:jc w:val="left"/>
            </w:pPr>
            <w:r>
              <w:rPr>
                <w:rFonts w:ascii="仿宋_GB2312" w:hAnsi="仿宋_GB2312" w:cs="仿宋_GB2312" w:eastAsia="仿宋_GB2312"/>
                <w:sz w:val="24"/>
                <w:color w:val="000000"/>
              </w:rPr>
              <w:t>⑦承包人应投保建筑工程一切险或安装工程一切险并支付保险费；为其履行合同的全部员工购买工伤保险并支付保险费；为其施工现场的全部人员办理意外伤害保险并支付保险费。</w:t>
            </w:r>
          </w:p>
          <w:p>
            <w:pPr>
              <w:pStyle w:val="null3"/>
              <w:jc w:val="left"/>
            </w:pPr>
            <w:r>
              <w:rPr>
                <w:rFonts w:ascii="仿宋_GB2312" w:hAnsi="仿宋_GB2312" w:cs="仿宋_GB2312" w:eastAsia="仿宋_GB2312"/>
                <w:sz w:val="24"/>
                <w:b/>
                <w:color w:val="000000"/>
              </w:rPr>
              <w:t>7、工程要求</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根据国家及地方有关建设工</w:t>
            </w:r>
            <w:r>
              <w:rPr>
                <w:rFonts w:ascii="仿宋_GB2312" w:hAnsi="仿宋_GB2312" w:cs="仿宋_GB2312" w:eastAsia="仿宋_GB2312"/>
                <w:sz w:val="24"/>
                <w:color w:val="000000"/>
              </w:rPr>
              <w:t>程行业有关规定</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对汉中市公安局南郑分局圣水派出</w:t>
            </w:r>
            <w:r>
              <w:rPr>
                <w:rFonts w:ascii="仿宋_GB2312" w:hAnsi="仿宋_GB2312" w:cs="仿宋_GB2312" w:eastAsia="仿宋_GB2312"/>
                <w:sz w:val="24"/>
                <w:color w:val="000000"/>
              </w:rPr>
              <w:t>所业务用房修缮改造项目，需根据现有状况、规范、按照图纸要求，清单内容，对南郑分局圣水派出所业务用房修缮改造</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③ 本项目投标报价是完成本项目所需的货物、运输、安装、调试等全部费用。最终安装调试效果须满足采购人实际使用要求，供应商不得因在安装过程中耗材等数量的变化而提出异议。</w:t>
            </w:r>
          </w:p>
          <w:p>
            <w:pPr>
              <w:pStyle w:val="null3"/>
              <w:jc w:val="left"/>
            </w:pPr>
            <w:r>
              <w:rPr>
                <w:rFonts w:ascii="仿宋_GB2312" w:hAnsi="仿宋_GB2312" w:cs="仿宋_GB2312" w:eastAsia="仿宋_GB2312"/>
                <w:sz w:val="24"/>
                <w:color w:val="000000"/>
              </w:rPr>
              <w:t>④ 按照国家三包政策执行，保修壹年；提供质保证明；有明确的售后服务内容。</w:t>
            </w:r>
          </w:p>
          <w:p>
            <w:pPr>
              <w:pStyle w:val="null3"/>
              <w:ind w:right="480"/>
              <w:jc w:val="left"/>
            </w:pPr>
            <w:r>
              <w:rPr>
                <w:rFonts w:ascii="仿宋_GB2312" w:hAnsi="仿宋_GB2312" w:cs="仿宋_GB2312" w:eastAsia="仿宋_GB2312"/>
                <w:sz w:val="24"/>
                <w:color w:val="000000"/>
              </w:rPr>
              <w:t>⑤服务要求</w:t>
            </w:r>
          </w:p>
          <w:p>
            <w:pPr>
              <w:pStyle w:val="null3"/>
              <w:jc w:val="both"/>
            </w:pPr>
            <w:r>
              <w:rPr>
                <w:rFonts w:ascii="仿宋_GB2312" w:hAnsi="仿宋_GB2312" w:cs="仿宋_GB2312" w:eastAsia="仿宋_GB2312"/>
                <w:sz w:val="24"/>
                <w:color w:val="000000"/>
              </w:rPr>
              <w:t>产品出现问题后，成交单位应以优良的服务态度</w:t>
            </w:r>
            <w:r>
              <w:rPr>
                <w:rFonts w:ascii="仿宋_GB2312" w:hAnsi="仿宋_GB2312" w:cs="仿宋_GB2312" w:eastAsia="仿宋_GB2312"/>
                <w:sz w:val="24"/>
                <w:color w:val="000000"/>
              </w:rPr>
              <w:t>2小时以内完成甲方提出的维修要求。如需更换或送修，必须在1个工作日内负责解决。</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达到国家或专业质量检验评定标准的合格条件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法定代表人授权书原件及被授权人身份证原件（法定代表人直接参加投标只须提供法定代表人身份证原件）；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供应商具备建筑工程施工总承包三级及以上资质或建筑装修装饰工程专业承包二级及以上资质，及有效的安全生产许可证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项目经理需具备建筑工程专业二级及以上注册建造师证书和安全生产考核合格证（B证），且无在建工程项目（提供承诺函）；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供应商及项目经理信息查询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A.实施方案完整详细、有针对性，完全满足项目实施，具有优化建议的得9-6.1分； B.实施方案完整，可行，能满足项目实施的全部要求的得6-3.1分； C.实施方案非专门针对本项目，存在少量逻辑漏洞或前后内容不一致的得3-0分；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A.提供具体详细、有针对性的安全作业方案及安全配套措施，完全符合采购人安全作业要求且具有优化建议的，得9-6.1分； B.提供安全作业方案及安全配套措施，符合采购人安全作业的要求，得6-3.1分； C.提供的安全作业方案及安全配套措施非专门针对本项目，套用其他项目内容，存在少量逻辑漏洞或前后内容不一致的得3-0分。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A.措施计划详细齐全、合理且切实可行，完全满足采购人需求，具有优化建议的得9-6.1分； B.措施计划齐全、合理、切实可行，满足采购人需求得6-3.1分； C.措施计划非专门针对本项目，存在少量逻辑漏洞或前后内容不一致的得3-0分。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A.措施计划详细齐全、合理且切实可行，完全满足采购人需求，具有优化建议的得8-5.1分； B.措施计划齐全、合理、切实可行，满足采购人需求得5-2.1分； C.措施计划非专门针对本项目，存在少量逻辑漏洞或前后内容不一致的得2-0分；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A.机构设置合理完善，人员配备齐全，技术经验丰富，人员专业性强，完全满足项目需求得6-3.1分； B.机构设置合理，人员配备齐全，且具备从业经验，满足项目需求得3-1分； C.机构设置非专门针对本项目，人员配备、技术经验有欠缺的得0分；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A.施工机械配备合理并提供设备来源证明材料，证明材料齐全且投入材料环保性优于国家标准的得6-3.1分； B.施工机械配备合理和材料环保性较好，提供了设备来源证明材料的得3-1分； C.施工机械配备和材料投入计划基本合理、可行，但未提供其他证明材料的得0分；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A.劳动力安排计划及劳务分包完整、合理、可行，有利于本项目实施的得6-3.1分； B.劳动力安排计划及劳务分包合理、可行的，基本能满足项目实施的得3-1分； C.劳动力安排计划及劳务分包可行性较差，存在缺陷的得0分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新材料 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 内容科学合理。 三、赋分标准（满分 3 分） ①新材料的应用情况：每完全满足一个评审标准得 0.5 分，满分 1.5 分； ②新技术和新工艺的应用情况：每完全满足一个评审标准得 0.5 分， 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供应商2022年1月至截标时间前同类施工项目业绩；每提供1份计3分，最高得9分。以业绩合同为准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供应商拟派项目负责人具有建筑工程专业高级职称的计5分，具有中级职称的计2分，中级以下不得分。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