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版本号：HRC-ZBDL-2025-0072320250715001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汉中历史文化保护传承规划和东关正街历史文化街区保护规划、南关正街历史文化街区保护规划项目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HRC-ZBDL-2025-00723</w:t>
      </w:r>
      <w:r>
        <w:br/>
      </w:r>
      <w:r>
        <w:br/>
      </w:r>
      <w:r>
        <w:br/>
      </w:r>
    </w:p>
    <w:p>
      <w:pPr>
        <w:pStyle w:val="null3"/>
        <w:jc w:val="center"/>
        <w:outlineLvl w:val="2"/>
      </w:pPr>
      <w:r>
        <w:rPr>
          <w:rFonts w:ascii="仿宋_GB2312" w:hAnsi="仿宋_GB2312" w:cs="仿宋_GB2312" w:eastAsia="仿宋_GB2312"/>
          <w:sz w:val="28"/>
          <w:b/>
        </w:rPr>
        <w:t>汉中市住房和城乡建设局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汉中市住房和城乡建设局</w:t>
      </w:r>
      <w:r>
        <w:rPr>
          <w:rFonts w:ascii="仿宋_GB2312" w:hAnsi="仿宋_GB2312" w:cs="仿宋_GB2312" w:eastAsia="仿宋_GB2312"/>
        </w:rPr>
        <w:t>委托，拟对</w:t>
      </w:r>
      <w:r>
        <w:rPr>
          <w:rFonts w:ascii="仿宋_GB2312" w:hAnsi="仿宋_GB2312" w:cs="仿宋_GB2312" w:eastAsia="仿宋_GB2312"/>
        </w:rPr>
        <w:t>汉中历史文化保护传承规划和东关正街历史文化街区保护规划、南关正街历史文化街区保护规划项目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HRC-ZBDL-2025-00723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汉中历史文化保护传承规划和东关正街历史文化街区保护规划、南关正街历史文化街区保护规划项目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按照《历史文化名城名镇名村街区保护规划编制审批办法》、《历史文化名城保护规划标准》等相关要求，为进一步提升汉中历史文化名城保护工作水平，拟开展汉中历史文化传承规划编制及东关正街历史文化街区保护规划编制工作、南关正街历史文化街区保护规划编制工作。服务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1、具有独立承担民事责任的能力：具有独立承担民事责任能力的法人、其他组织或自然人，营业执照、组织机构代码 证、税务登记证（三证合一只提供营业执照，事业单位提供事业单位法人证书，自然人应提供身份证）合法有效；</w:t>
      </w:r>
    </w:p>
    <w:p>
      <w:pPr>
        <w:pStyle w:val="null3"/>
      </w:pPr>
      <w:r>
        <w:rPr>
          <w:rFonts w:ascii="仿宋_GB2312" w:hAnsi="仿宋_GB2312" w:cs="仿宋_GB2312" w:eastAsia="仿宋_GB2312"/>
        </w:rPr>
        <w:t>2、法定代表人或授权委托人：法定代表人参加投标时，提供本人身份证；授权代表参加投标时，提供法定代表人授权书和被授权人身份证；非法人单位参照执行；</w:t>
      </w:r>
    </w:p>
    <w:p>
      <w:pPr>
        <w:pStyle w:val="null3"/>
      </w:pPr>
      <w:r>
        <w:rPr>
          <w:rFonts w:ascii="仿宋_GB2312" w:hAnsi="仿宋_GB2312" w:cs="仿宋_GB2312" w:eastAsia="仿宋_GB2312"/>
        </w:rPr>
        <w:t>3、投标人资质：供应商需具备城乡规划甲级资质；</w:t>
      </w:r>
    </w:p>
    <w:p>
      <w:pPr>
        <w:pStyle w:val="null3"/>
      </w:pPr>
      <w:r>
        <w:rPr>
          <w:rFonts w:ascii="仿宋_GB2312" w:hAnsi="仿宋_GB2312" w:cs="仿宋_GB2312" w:eastAsia="仿宋_GB2312"/>
        </w:rPr>
        <w:t>4、供应商资格承诺函：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须提供《汉中市政府采购供应商资格承诺函》；</w:t>
      </w:r>
    </w:p>
    <w:p>
      <w:pPr>
        <w:pStyle w:val="null3"/>
      </w:pPr>
      <w:r>
        <w:rPr>
          <w:rFonts w:ascii="仿宋_GB2312" w:hAnsi="仿宋_GB2312" w:cs="仿宋_GB2312" w:eastAsia="仿宋_GB2312"/>
        </w:rPr>
        <w:t>5、本项目接受联合体投标：本项目接受联合体投标。(组成联合体数量不得超过2家，须提供联合体协议。联合体牵头单位代表联合体各方办理本项目采购活动过程中的一切事务。组成联合体的各方不得再以自己的名义单独或参加其他联合体在本项目的投标活动，否则投标活动将被拒绝。）</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陕西省汉中市汉台区民主街43号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723011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张艾娜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0916-2626554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19721965381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代理服务费收费标准：以中标金额为基数，参照原国家计委计价格〔2002〕1980号文和国家发改委发改办价格〔2003〕857号文的计算方法标准收取。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汉中市住房和城乡建设局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汉中市住房和城乡建设局</w:t>
      </w:r>
      <w:r>
        <w:rPr>
          <w:rFonts w:ascii="仿宋_GB2312" w:hAnsi="仿宋_GB2312" w:cs="仿宋_GB2312" w:eastAsia="仿宋_GB2312"/>
        </w:rPr>
        <w:t>负责解释。除上述招标文件内容，其他内容由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质量验收标准或规范 1、法律法规 《中华人民共和国城乡规划法》 《中华人民共和国文物保护法》 《中华人民共和国非物质文化遗产法》 《陕西省文物保护条例》 《陕西省历史文化名城名镇名村保护条例》 《陕西省非物质文化遗产条例》 《陕西省革命文物保护利用条例》 2、国家标准与行业标准 《历史文化名城保护规划标准》 《城乡历史文化保护利用项目规范》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联系人：张磊</w:t>
      </w:r>
    </w:p>
    <w:p>
      <w:pPr>
        <w:pStyle w:val="null3"/>
      </w:pPr>
      <w:r>
        <w:rPr>
          <w:rFonts w:ascii="仿宋_GB2312" w:hAnsi="仿宋_GB2312" w:cs="仿宋_GB2312" w:eastAsia="仿宋_GB2312"/>
        </w:rPr>
        <w:t>联系电话：19721965381</w:t>
      </w:r>
    </w:p>
    <w:p>
      <w:pPr>
        <w:pStyle w:val="null3"/>
      </w:pPr>
      <w:r>
        <w:rPr>
          <w:rFonts w:ascii="仿宋_GB2312" w:hAnsi="仿宋_GB2312" w:cs="仿宋_GB2312" w:eastAsia="仿宋_GB2312"/>
        </w:rPr>
        <w:t>地址： 陕西省西安市雁塔区曲江新区雁翔路3269号旺座曲江E座29层2901号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历史文化名城名镇名村街区保护规划编制审批办法》、《历史文化名城保护规划标准》等相关要求，为进一步提升汉中历史文化名城保护工作水平，拟开展汉中历史文化传承规划编制及东关正街历史文化街区保护规划编制工作、南关正街历史文化街区保护规划编制工作。服务要求：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4,500,000.00</w:t>
      </w:r>
    </w:p>
    <w:p>
      <w:pPr>
        <w:pStyle w:val="null3"/>
      </w:pPr>
      <w:r>
        <w:rPr>
          <w:rFonts w:ascii="仿宋_GB2312" w:hAnsi="仿宋_GB2312" w:cs="仿宋_GB2312" w:eastAsia="仿宋_GB2312"/>
        </w:rPr>
        <w:t>采购包最高限价（元）: 4,500,000.00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汉中历史文化保护传承规划和东关正街历史文化街区保护规划、南关正街历史文化街区保护规划项目</w:t>
            </w:r>
          </w:p>
        </w:tc>
        <w:tc>
          <w:tcPr>
            <w:tcW w:type="dxa" w:w="831"/>
          </w:tcPr>
          <w:p>
            <w:pPr>
              <w:pStyle w:val="null3"/>
              <w:jc w:val="right"/>
            </w:pPr>
            <w:r>
              <w:rPr>
                <w:rFonts w:ascii="仿宋_GB2312" w:hAnsi="仿宋_GB2312" w:cs="仿宋_GB2312" w:eastAsia="仿宋_GB2312"/>
              </w:rPr>
              <w:t>45,763.87</w:t>
            </w:r>
          </w:p>
        </w:tc>
        <w:tc>
          <w:tcPr>
            <w:tcW w:type="dxa" w:w="831"/>
          </w:tcPr>
          <w:p>
            <w:pPr>
              <w:pStyle w:val="null3"/>
              <w:jc w:val="right"/>
            </w:pPr>
            <w:r>
              <w:rPr>
                <w:rFonts w:ascii="仿宋_GB2312" w:hAnsi="仿宋_GB2312" w:cs="仿宋_GB2312" w:eastAsia="仿宋_GB2312"/>
              </w:rPr>
              <w:t>4,500,000.00</w:t>
            </w:r>
          </w:p>
        </w:tc>
        <w:tc>
          <w:tcPr>
            <w:tcW w:type="dxa" w:w="831"/>
          </w:tcPr>
          <w:p>
            <w:pPr>
              <w:pStyle w:val="null3"/>
            </w:pPr>
            <w:r>
              <w:rPr>
                <w:rFonts w:ascii="仿宋_GB2312" w:hAnsi="仿宋_GB2312" w:cs="仿宋_GB2312" w:eastAsia="仿宋_GB2312"/>
              </w:rPr>
              <w:t>公顷</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标的名称：汉中历史文化保护传承规划和东关正街历史文化街区保护规划、南关正街历史文化街区保护规划项目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7"/>
                <w:b/>
              </w:rPr>
              <w:t>（一）汉中历史文化传承规划编制</w:t>
            </w:r>
          </w:p>
          <w:p>
            <w:pPr>
              <w:pStyle w:val="null3"/>
              <w:jc w:val="both"/>
            </w:pPr>
            <w:r>
              <w:rPr>
                <w:rFonts w:ascii="仿宋_GB2312" w:hAnsi="仿宋_GB2312" w:cs="仿宋_GB2312" w:eastAsia="仿宋_GB2312"/>
                <w:sz w:val="21"/>
                <w:b/>
              </w:rPr>
              <w:t>内容及成果</w:t>
            </w:r>
          </w:p>
          <w:p>
            <w:pPr>
              <w:pStyle w:val="null3"/>
              <w:jc w:val="both"/>
            </w:pPr>
            <w:r>
              <w:rPr>
                <w:rFonts w:ascii="仿宋_GB2312" w:hAnsi="仿宋_GB2312" w:cs="仿宋_GB2312" w:eastAsia="仿宋_GB2312"/>
                <w:sz w:val="21"/>
              </w:rPr>
              <w:t>按照《历史文化名城名镇名村保护条例》《陕西省历史文化名城名镇名村保护条例》《陕西省</w:t>
            </w:r>
            <w:r>
              <w:rPr>
                <w:rFonts w:ascii="仿宋_GB2312" w:hAnsi="仿宋_GB2312" w:cs="仿宋_GB2312" w:eastAsia="仿宋_GB2312"/>
                <w:sz w:val="21"/>
              </w:rPr>
              <w:t>2022年城乡历史文化保护传承工作方案（陕建城发〔2022〕4号）》工作要求，开展本次工作。</w:t>
            </w:r>
          </w:p>
          <w:p>
            <w:pPr>
              <w:pStyle w:val="null3"/>
              <w:jc w:val="both"/>
            </w:pPr>
            <w:r>
              <w:rPr>
                <w:rFonts w:ascii="仿宋_GB2312" w:hAnsi="仿宋_GB2312" w:cs="仿宋_GB2312" w:eastAsia="仿宋_GB2312"/>
                <w:sz w:val="21"/>
                <w:b/>
              </w:rPr>
              <w:t>1.主要内容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1）调研梳理传承利用资源。对全域各类历史文化遗产资源进行调研和评估，筛选有条件进行传承利用的资源，分区、分级、分类建立传承利用名录，制定传承策略。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2）制定传承利用导则和措施。从历史文化角度，提出环境整治、功能置换、设施提升等方面策略，为该区域的规划建设活动提供依据，推动城市特色风貌的塑造。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3）开展传承利用示范项目。针对历史文化街区、历史建筑等重点文化遗产类型，按照本规划确定的要求和措施，形成示范传承方案。</w:t>
            </w:r>
          </w:p>
          <w:p>
            <w:pPr>
              <w:pStyle w:val="null3"/>
              <w:jc w:val="both"/>
            </w:pPr>
            <w:r>
              <w:rPr>
                <w:rFonts w:ascii="仿宋_GB2312" w:hAnsi="仿宋_GB2312" w:cs="仿宋_GB2312" w:eastAsia="仿宋_GB2312"/>
                <w:sz w:val="21"/>
                <w:b/>
              </w:rPr>
              <w:t>2.成果</w:t>
            </w:r>
          </w:p>
          <w:p>
            <w:pPr>
              <w:pStyle w:val="null3"/>
              <w:jc w:val="both"/>
            </w:pPr>
            <w:r>
              <w:rPr>
                <w:rFonts w:ascii="仿宋_GB2312" w:hAnsi="仿宋_GB2312" w:cs="仿宋_GB2312" w:eastAsia="仿宋_GB2312"/>
                <w:sz w:val="21"/>
              </w:rPr>
              <w:t>规划文本、图纸、说明书等，</w:t>
            </w:r>
            <w:r>
              <w:rPr>
                <w:rFonts w:ascii="仿宋_GB2312" w:hAnsi="仿宋_GB2312" w:cs="仿宋_GB2312" w:eastAsia="仿宋_GB2312"/>
                <w:sz w:val="21"/>
              </w:rPr>
              <w:t>Word或PDF格式文件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纸质版</w:t>
            </w:r>
            <w:r>
              <w:rPr>
                <w:rFonts w:ascii="仿宋_GB2312" w:hAnsi="仿宋_GB2312" w:cs="仿宋_GB2312" w:eastAsia="仿宋_GB2312"/>
                <w:sz w:val="21"/>
              </w:rPr>
              <w:t>6套，电子版2份刻录成DVD</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7"/>
              </w:rPr>
              <w:t>（</w:t>
            </w:r>
            <w:r>
              <w:rPr>
                <w:rFonts w:ascii="仿宋_GB2312" w:hAnsi="仿宋_GB2312" w:cs="仿宋_GB2312" w:eastAsia="仿宋_GB2312"/>
                <w:sz w:val="27"/>
                <w:b/>
              </w:rPr>
              <w:t>二）</w:t>
            </w:r>
            <w:r>
              <w:rPr>
                <w:rFonts w:ascii="仿宋_GB2312" w:hAnsi="仿宋_GB2312" w:cs="仿宋_GB2312" w:eastAsia="仿宋_GB2312"/>
                <w:sz w:val="27"/>
                <w:b/>
              </w:rPr>
              <w:t>东关正街历史文化街区保护规划</w:t>
            </w:r>
          </w:p>
          <w:p>
            <w:pPr>
              <w:pStyle w:val="null3"/>
              <w:jc w:val="both"/>
            </w:pPr>
            <w:r>
              <w:rPr>
                <w:rFonts w:ascii="仿宋_GB2312" w:hAnsi="仿宋_GB2312" w:cs="仿宋_GB2312" w:eastAsia="仿宋_GB2312"/>
                <w:sz w:val="21"/>
                <w:b/>
              </w:rPr>
              <w:t>内容及成果</w:t>
            </w:r>
          </w:p>
          <w:p>
            <w:pPr>
              <w:pStyle w:val="null3"/>
              <w:jc w:val="both"/>
            </w:pPr>
            <w:r>
              <w:rPr>
                <w:rFonts w:ascii="仿宋_GB2312" w:hAnsi="仿宋_GB2312" w:cs="仿宋_GB2312" w:eastAsia="仿宋_GB2312"/>
                <w:sz w:val="21"/>
              </w:rPr>
              <w:t>按照《历史文化名城名镇名村街区保护规划编制审批办法》《历史文化名城保护规划标准》等相关要求，开展工作。</w:t>
            </w:r>
          </w:p>
          <w:p>
            <w:pPr>
              <w:pStyle w:val="null3"/>
              <w:jc w:val="both"/>
            </w:pPr>
            <w:r>
              <w:rPr>
                <w:rFonts w:ascii="仿宋_GB2312" w:hAnsi="仿宋_GB2312" w:cs="仿宋_GB2312" w:eastAsia="仿宋_GB2312"/>
                <w:sz w:val="21"/>
                <w:b/>
              </w:rPr>
              <w:t>1.主要内容</w:t>
            </w:r>
          </w:p>
          <w:p>
            <w:pPr>
              <w:pStyle w:val="null3"/>
              <w:jc w:val="both"/>
            </w:pPr>
            <w:r>
              <w:rPr>
                <w:rFonts w:ascii="仿宋_GB2312" w:hAnsi="仿宋_GB2312" w:cs="仿宋_GB2312" w:eastAsia="仿宋_GB2312"/>
                <w:sz w:val="21"/>
              </w:rPr>
              <w:t>评估历史文化价值、特点和存在问题；确定保护目标、保护原则和保护内容；针对核心保护范围和建设控制地带，提出保护管控要求；研判建筑情况，提出保护整治措施；从整体风貌、街巷空间、附属设施等方面提出改善引导措施；提出历史文化遗产展示利用的规划策略；提出改善交通等基础设施、公共服务设施、居住环境的规划策略。</w:t>
            </w:r>
          </w:p>
          <w:p>
            <w:pPr>
              <w:pStyle w:val="null3"/>
              <w:jc w:val="both"/>
            </w:pPr>
            <w:r>
              <w:rPr>
                <w:rFonts w:ascii="仿宋_GB2312" w:hAnsi="仿宋_GB2312" w:cs="仿宋_GB2312" w:eastAsia="仿宋_GB2312"/>
                <w:sz w:val="21"/>
                <w:b/>
              </w:rPr>
              <w:t>2.成果</w:t>
            </w:r>
          </w:p>
          <w:p>
            <w:pPr>
              <w:pStyle w:val="null3"/>
              <w:jc w:val="both"/>
            </w:pPr>
            <w:r>
              <w:rPr>
                <w:rFonts w:ascii="仿宋_GB2312" w:hAnsi="仿宋_GB2312" w:cs="仿宋_GB2312" w:eastAsia="仿宋_GB2312"/>
                <w:sz w:val="21"/>
              </w:rPr>
              <w:t>规划文本、图纸、说明书等，</w:t>
            </w:r>
            <w:r>
              <w:rPr>
                <w:rFonts w:ascii="仿宋_GB2312" w:hAnsi="仿宋_GB2312" w:cs="仿宋_GB2312" w:eastAsia="仿宋_GB2312"/>
                <w:sz w:val="21"/>
              </w:rPr>
              <w:t>Word或PDF格式文件。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纸质版</w:t>
            </w:r>
            <w:r>
              <w:rPr>
                <w:rFonts w:ascii="仿宋_GB2312" w:hAnsi="仿宋_GB2312" w:cs="仿宋_GB2312" w:eastAsia="仿宋_GB2312"/>
                <w:sz w:val="21"/>
              </w:rPr>
              <w:t>6套，电子版 2份刻录成DVD</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7"/>
                <w:b/>
              </w:rPr>
              <w:t>（三）</w:t>
            </w:r>
            <w:r>
              <w:rPr>
                <w:rFonts w:ascii="仿宋_GB2312" w:hAnsi="仿宋_GB2312" w:cs="仿宋_GB2312" w:eastAsia="仿宋_GB2312"/>
                <w:sz w:val="27"/>
                <w:b/>
              </w:rPr>
              <w:t>南关历史文化街区保护规划</w:t>
            </w:r>
          </w:p>
          <w:p>
            <w:pPr>
              <w:pStyle w:val="null3"/>
              <w:jc w:val="both"/>
            </w:pPr>
            <w:r>
              <w:rPr>
                <w:rFonts w:ascii="仿宋_GB2312" w:hAnsi="仿宋_GB2312" w:cs="仿宋_GB2312" w:eastAsia="仿宋_GB2312"/>
                <w:sz w:val="21"/>
                <w:b/>
              </w:rPr>
              <w:t>内容及成果</w:t>
            </w:r>
          </w:p>
          <w:p>
            <w:pPr>
              <w:pStyle w:val="null3"/>
              <w:jc w:val="both"/>
            </w:pPr>
            <w:r>
              <w:rPr>
                <w:rFonts w:ascii="仿宋_GB2312" w:hAnsi="仿宋_GB2312" w:cs="仿宋_GB2312" w:eastAsia="仿宋_GB2312"/>
                <w:sz w:val="21"/>
              </w:rPr>
              <w:t>按照《历史文化名城名镇名村街区保护规划编制审批办法》《历史文化名城保护规划标准》等相关要求，开展本次工作。</w:t>
            </w:r>
          </w:p>
          <w:p>
            <w:pPr>
              <w:pStyle w:val="null3"/>
              <w:jc w:val="both"/>
            </w:pPr>
            <w:r>
              <w:rPr>
                <w:rFonts w:ascii="仿宋_GB2312" w:hAnsi="仿宋_GB2312" w:cs="仿宋_GB2312" w:eastAsia="仿宋_GB2312"/>
                <w:sz w:val="21"/>
                <w:b/>
              </w:rPr>
              <w:t>1.主要内容</w:t>
            </w:r>
          </w:p>
          <w:p>
            <w:pPr>
              <w:pStyle w:val="null3"/>
              <w:jc w:val="both"/>
            </w:pPr>
            <w:r>
              <w:rPr>
                <w:rFonts w:ascii="仿宋_GB2312" w:hAnsi="仿宋_GB2312" w:cs="仿宋_GB2312" w:eastAsia="仿宋_GB2312"/>
                <w:sz w:val="21"/>
              </w:rPr>
              <w:t>评估历史文化价值、特点和存在问题；确定保护目标、保护原则和保护内容；针对核心保护范围和建设控制地带，提出保护管控要求；研判建筑情况，提出保护整治措施；从整体风貌、街巷空间、附属设施等方面提出改善引导措施；提出历史文化遗产展示利用的规划策略；提出改善交通等基础设施、公共服务设施、居住环境的规划策略。</w:t>
            </w:r>
          </w:p>
          <w:p>
            <w:pPr>
              <w:pStyle w:val="null3"/>
              <w:jc w:val="both"/>
            </w:pPr>
            <w:r>
              <w:rPr>
                <w:rFonts w:ascii="仿宋_GB2312" w:hAnsi="仿宋_GB2312" w:cs="仿宋_GB2312" w:eastAsia="仿宋_GB2312"/>
                <w:sz w:val="21"/>
                <w:b/>
              </w:rPr>
              <w:t>2.成果</w:t>
            </w:r>
          </w:p>
          <w:p>
            <w:pPr>
              <w:pStyle w:val="null3"/>
              <w:jc w:val="both"/>
            </w:pPr>
            <w:r>
              <w:rPr>
                <w:rFonts w:ascii="仿宋_GB2312" w:hAnsi="仿宋_GB2312" w:cs="仿宋_GB2312" w:eastAsia="仿宋_GB2312"/>
                <w:sz w:val="21"/>
              </w:rPr>
              <w:t>规划文本、图纸、说明书等，</w:t>
            </w:r>
            <w:r>
              <w:rPr>
                <w:rFonts w:ascii="仿宋_GB2312" w:hAnsi="仿宋_GB2312" w:cs="仿宋_GB2312" w:eastAsia="仿宋_GB2312"/>
                <w:sz w:val="21"/>
              </w:rPr>
              <w:t>Word或PDF格式文件。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纸质版</w:t>
            </w:r>
            <w:r>
              <w:rPr>
                <w:rFonts w:ascii="仿宋_GB2312" w:hAnsi="仿宋_GB2312" w:cs="仿宋_GB2312" w:eastAsia="仿宋_GB2312"/>
                <w:sz w:val="21"/>
              </w:rPr>
              <w:t>6套，电子版2份刻录成DVD</w:t>
            </w:r>
            <w:r>
              <w:rPr>
                <w:rFonts w:ascii="仿宋_GB2312" w:hAnsi="仿宋_GB2312" w:cs="仿宋_GB2312" w:eastAsia="仿宋_GB2312"/>
                <w:sz w:val="21"/>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为保证项目质量，供应商应配置足够数量、专业的、经验丰富的技术人员确保完成项目履约。</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符合完成本项目服务内容的设备设施，确保完成项目履约。</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符合采购人需求，符合招标文件要求。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 年12月31日止，完成项目所有内容，提交最终成果，并达到验收标准，因报审程序项目截止日期顺延。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1、法律法规 《中华人民共和国城乡规划法》 《中华人民共和国文物保护法》 《中华人民共和国非物质文化遗产法》 《陕西省文物保护条例》 《陕西省历史文化名城名镇名村保护条例》 《陕西省非物质文化遗产条例》 《陕西省革命文物保护利用条例》 2、国家标准与行业标准 《历史文化名城保护规划标准》 《城乡历史文化保护利用项目规范》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合同签订后10日内，乙方开具合法且符合甲方要求的合同款项增值税专用发票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乙方提供的规划编制成果通过技术审查后，乙方开具合法且符合甲方要求的合同款项增值税专用发票，甲方收到乙方发票后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乙方提供的规划编制成果获审批后，乙方开具合法且符合甲方要求的合同款项增值税专用发票，甲方收到乙方发票后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3.甲方发现乙方人员资质造假可立即终止合同。 任何一方不履行本合同约定的义务或履行义务不符合本合同约定的，视为违约，应停止违约行为，并承担继续履行、采取补救措施或赔偿损失等违约责任；因履行本合同产生的争议，甲乙双方应友好协商解决；协商不成的，双方同意向甲方住所地有管辖权的人民法院提起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 证、税务登记证（三证合一只提供营业执照，事业单位提供事业单位法人证书，自然人应提供身份证）合法有效；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法定代表人或授权委托人</w:t>
            </w:r>
          </w:p>
        </w:tc>
        <w:tc>
          <w:tcPr>
            <w:tcW w:type="dxa" w:w="3322"/>
          </w:tcPr>
          <w:p>
            <w:pPr>
              <w:pStyle w:val="null3"/>
            </w:pPr>
            <w:r>
              <w:rPr>
                <w:rFonts w:ascii="仿宋_GB2312" w:hAnsi="仿宋_GB2312" w:cs="仿宋_GB2312" w:eastAsia="仿宋_GB2312"/>
              </w:rPr>
              <w:t>法定代表人参加投标时，提供本人身份证；授权代表参加投标时，提供法定代表人授权书和被授权人身份证；非法人单位参照执行；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投标人资质</w:t>
            </w:r>
          </w:p>
        </w:tc>
        <w:tc>
          <w:tcPr>
            <w:tcW w:type="dxa" w:w="3322"/>
          </w:tcPr>
          <w:p>
            <w:pPr>
              <w:pStyle w:val="null3"/>
            </w:pPr>
            <w:r>
              <w:rPr>
                <w:rFonts w:ascii="仿宋_GB2312" w:hAnsi="仿宋_GB2312" w:cs="仿宋_GB2312" w:eastAsia="仿宋_GB2312"/>
              </w:rPr>
              <w:t>供应商需具备城乡规划甲级资质；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本项目接受联合体投标</w:t>
            </w:r>
          </w:p>
        </w:tc>
        <w:tc>
          <w:tcPr>
            <w:tcW w:type="dxa" w:w="3322"/>
          </w:tcPr>
          <w:p>
            <w:pPr>
              <w:pStyle w:val="null3"/>
            </w:pPr>
            <w:r>
              <w:rPr>
                <w:rFonts w:ascii="仿宋_GB2312" w:hAnsi="仿宋_GB2312" w:cs="仿宋_GB2312" w:eastAsia="仿宋_GB2312"/>
              </w:rPr>
              <w:t>本项目接受联合体投标。(组成联合体数量不得超过2家，须提供联合体协议。联合体牵头单位代表联合体各方办理本项目采购活动过程中的一切事务。组成联合体的各方不得再以自己的名义单独或参加其他联合体在本项目的投标活动，否则投标活动将被拒绝。）</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本项目非专门面向中小企业采购。 （1）《政府采购促进中小企业发展管理办法》（财库〔2020〕46号）； （2）《财政部司法部关于政府采购支持监狱企业发展有关问题的通知》（财库〔2014〕68号）； （3）《国务院办公厅关于建立政府强制采购节能产品制度的通知》（国办发〔2007〕51号）； （4）《财政部 环保总局关于环境标志产品政府采购实施的意见》（财库〔2006〕90号）； （5）《财政部国家发展改革委关于印发〈节能产品政府采购实施意见〉的通知》（财库〔2004〕185号）； （6）《财政部民政部中国残疾人联合会关于促进残疾人就业政府采购政策的通知》（财库〔2017〕141号）； （7）《财政部发展改革委生态环境部市场监管总局关于调整优化节能产品、环境标志产品政府采购执行机制的通知》（财库〔2019〕9号）； （8）《关于印发环境标志产品政府采购品目清单的通知》（财库〔2019〕18号）； （9）《关于印发节能产品政府采购品目清单的通知》（财库〔2019〕19号）； （10）《财政部农业农村部 国家乡村振兴局关于运用政府采购政策支持乡村产业振兴的通知》财库〔2021〕19号；（11）《陕西省财政厅关于印发陕西省中小企业政府采购信用融资办法》（陕财办采〔2018〕23号）； （12）《陕西省财政厅关于加快推进我省中小企业政府采购信用融资工作的通知》（陕财办采〔2020〕15号）； （13）《陕西省财政厅关于进一步优化政府采购营商环境有关事项的通知》（陕财办采〔2023〕4号）； (14)其他需要落实的政府采购政策。</w:t>
            </w:r>
          </w:p>
        </w:tc>
        <w:tc>
          <w:tcPr>
            <w:tcW w:type="dxa" w:w="1661"/>
          </w:tcPr>
          <w:p>
            <w:pPr>
              <w:pStyle w:val="null3"/>
            </w:pPr>
            <w:r>
              <w:rPr>
                <w:rFonts w:ascii="仿宋_GB2312" w:hAnsi="仿宋_GB2312" w:cs="仿宋_GB2312" w:eastAsia="仿宋_GB2312"/>
              </w:rPr>
              <w:t>投标函 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投标无效条件：投标文件未按招标文件要求签署、盖章的</w:t>
            </w:r>
          </w:p>
        </w:tc>
        <w:tc>
          <w:tcPr>
            <w:tcW w:type="dxa" w:w="1661"/>
          </w:tcPr>
          <w:p>
            <w:pPr>
              <w:pStyle w:val="null3"/>
            </w:pPr>
            <w:r>
              <w:rPr>
                <w:rFonts w:ascii="仿宋_GB2312" w:hAnsi="仿宋_GB2312" w:cs="仿宋_GB2312" w:eastAsia="仿宋_GB2312"/>
              </w:rPr>
              <w:t>开标一览表 分项报价表.docx 投标函 中小企业声明函 标的清单 投标文件封面 商务条款偏离表.docx 技术指标偏差表.docx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投标无效条件：投标人投标报价超出采购预算或最高限价的</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投标无效条件：投标有效期不满足招标文件要求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投标无效条件：存在其它不符合法律法规或招标文件规定的投标无效情形</w:t>
            </w:r>
          </w:p>
        </w:tc>
        <w:tc>
          <w:tcPr>
            <w:tcW w:type="dxa" w:w="1661"/>
          </w:tcPr>
          <w:p>
            <w:pPr>
              <w:pStyle w:val="null3"/>
            </w:pPr>
            <w:r>
              <w:rPr>
                <w:rFonts w:ascii="仿宋_GB2312" w:hAnsi="仿宋_GB2312" w:cs="仿宋_GB2312" w:eastAsia="仿宋_GB2312"/>
              </w:rPr>
              <w:t>投标函 投标文件封面 商务条款偏离表.docx 其他.docx 技术指标偏差表.docx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 方案</w:t>
            </w:r>
          </w:p>
        </w:tc>
        <w:tc>
          <w:tcPr>
            <w:tcW w:type="dxa" w:w="2492"/>
          </w:tcPr>
          <w:p>
            <w:pPr>
              <w:pStyle w:val="null3"/>
            </w:pPr>
            <w:r>
              <w:rPr>
                <w:rFonts w:ascii="仿宋_GB2312" w:hAnsi="仿宋_GB2312" w:cs="仿宋_GB2312" w:eastAsia="仿宋_GB2312"/>
              </w:rPr>
              <w:t>结合国家、省市工作会议精神和要求以及本项目背景、发展目的及意义提供完善的满足采购人要求的实施方案。 1、方案内容特别完整详实、工作思路清楚明确，针对性强、可操作性强、可行性强的，完全满足项目采购需求得（27-35]分； 2、方案内容描述完整但不具严谨度、流程清楚，针对性、可操作性、可行性一般的，基本满足项目采购需求得（19-27]分； 3、方案内容简单粗略、逻辑性不强，无针对性及可操作性，需要改进后才能使用得(0-19]分。 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拟投入人 员配备方案</w:t>
            </w:r>
          </w:p>
        </w:tc>
        <w:tc>
          <w:tcPr>
            <w:tcW w:type="dxa" w:w="2492"/>
          </w:tcPr>
          <w:p>
            <w:pPr>
              <w:pStyle w:val="null3"/>
            </w:pPr>
            <w:r>
              <w:rPr>
                <w:rFonts w:ascii="仿宋_GB2312" w:hAnsi="仿宋_GB2312" w:cs="仿宋_GB2312" w:eastAsia="仿宋_GB2312"/>
              </w:rPr>
              <w:t>1、项目经理同时具备高级职称证（规划专业）和注册城乡规划师，得2分，否则不得分。 2、项目组成员每有一名高级工程师（城市规划专业），得1分；每有一名注册城乡规划师，得1分；满分5分。 3、供应商承诺安排驻场人员进行服务，服务人员具有城市规划相关专业职称，每有一人得1分，满分3分。 备注：须提供人员证书复印件或扫描件加盖公章以及2024年7月1日至今任意1个月在企业缴纳社保的证明复印件加盖公章，未提供或提供不全不得分； 注：拟派项目人员须为本单位专职人员；同一人不同资格，不累计得分。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拟投入人员及设备.docx</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具有完善的工作质量控制制度。 1、质量控制制度科学全面、合理、内容充实、规范，可行性强，得（6-8]分； 2、质量控制制度基本合理，内容一般，但具有一定的可行性，得(3-6]分； 3、质量控制制度内容简略，不全面，得(0-3]分；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供应商对本项目的工作进度安排： 1、工作进度安排特别详细、描述严谨、完整，时间进度和阶段工作目标安排科学合理，可行性高，完全满足项目采购需求，计(4-6]分； 2、工作进度安排比较完整，时间进度和阶段工作目标安排合理性不足，可行性一般，但基本符合项目实际需求，较(2-4]分； 3、工作进度安排简单、粗略，内容差可行性一般，计(0-2]分。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针对采购人实际需求提供保证服务质量的承诺： 1、承诺详细、具体，可行性强，得(4-6]分； 2、承诺较为详细，有可行性，得(2-4]分； 3、承诺可行性较差，得(0-2]分；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供应商针对本项目投标人针对本项目重点和难点问题提出合理化及符合项目实际情况的建议。 内容科学可行，有针对性且内容丰富，符合项目实际需求得(3-5]分； 内容较为科学可行，有针对性，得(2-3]分； 内容简单笼统，针对性一般，得(0-2]分；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供应商提供自2021年1月1日以来类似项目业绩（提供合同复印件或扫描件并加盖供应商公章），每提供一个项目业绩合同得3分；最高12分。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vMerge/>
          </w:tcPr>
          <w:p/>
        </w:tc>
        <w:tc>
          <w:tcPr>
            <w:tcW w:type="dxa" w:w="1661"/>
          </w:tcPr>
          <w:p>
            <w:pPr>
              <w:pStyle w:val="null3"/>
            </w:pPr>
            <w:r>
              <w:rPr>
                <w:rFonts w:ascii="仿宋_GB2312" w:hAnsi="仿宋_GB2312" w:cs="仿宋_GB2312" w:eastAsia="仿宋_GB2312"/>
              </w:rPr>
              <w:t>获奖情况</w:t>
            </w:r>
          </w:p>
        </w:tc>
        <w:tc>
          <w:tcPr>
            <w:tcW w:type="dxa" w:w="2492"/>
          </w:tcPr>
          <w:p>
            <w:pPr>
              <w:pStyle w:val="null3"/>
            </w:pPr>
            <w:r>
              <w:rPr>
                <w:rFonts w:ascii="仿宋_GB2312" w:hAnsi="仿宋_GB2312" w:cs="仿宋_GB2312" w:eastAsia="仿宋_GB2312"/>
              </w:rPr>
              <w:t>2020年1月以来规划设计类项目,获得国家级奖项得3分；获得省级奖项得2分。（本项最高得8分） 提供获奖证明文件复印件或扫描件加盖公章，以颁发时期为准。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获奖情况.docx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1.有效投标最低价（总价）为评标基准价，得10分； 2.按（评标基准价/投标价（总价）×10）的公式计算供应商价格得分。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6.00%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如若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详见附件：拟投入人员及设备.docx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详见附件：获奖情况.docx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