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版本号：FYZC2025070120251010001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汉中市大气污染热点网格监管项目运维服务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FYZC20250701</w:t>
      </w:r>
      <w:r>
        <w:br/>
      </w:r>
      <w:r>
        <w:br/>
      </w:r>
      <w:r>
        <w:br/>
      </w:r>
    </w:p>
    <w:p>
      <w:pPr>
        <w:pStyle w:val="null3"/>
        <w:jc w:val="center"/>
        <w:outlineLvl w:val="2"/>
      </w:pPr>
      <w:r>
        <w:rPr>
          <w:rFonts w:ascii="仿宋_GB2312" w:hAnsi="仿宋_GB2312" w:cs="仿宋_GB2312" w:eastAsia="仿宋_GB2312"/>
          <w:sz w:val="28"/>
          <w:b/>
        </w:rPr>
        <w:t>汉中市生态环境局</w:t>
      </w:r>
    </w:p>
    <w:p>
      <w:pPr>
        <w:pStyle w:val="null3"/>
        <w:jc w:val="center"/>
        <w:outlineLvl w:val="2"/>
      </w:pPr>
      <w:r>
        <w:rPr>
          <w:rFonts w:ascii="仿宋_GB2312" w:hAnsi="仿宋_GB2312" w:cs="仿宋_GB2312" w:eastAsia="仿宋_GB2312"/>
          <w:sz w:val="28"/>
          <w:b/>
        </w:rPr>
        <w:t>方宇工程咨询有限公司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方宇工程咨询有限公司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w:t>
      </w:r>
      <w:r>
        <w:rPr>
          <w:rFonts w:ascii="仿宋_GB2312" w:hAnsi="仿宋_GB2312" w:cs="仿宋_GB2312" w:eastAsia="仿宋_GB2312"/>
        </w:rPr>
        <w:t>委托，拟对</w:t>
      </w:r>
      <w:r>
        <w:rPr>
          <w:rFonts w:ascii="仿宋_GB2312" w:hAnsi="仿宋_GB2312" w:cs="仿宋_GB2312" w:eastAsia="仿宋_GB2312"/>
        </w:rPr>
        <w:t>汉中市大气污染热点网格监管项目运维服务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FYZC20250701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汉中市大气污染热点网格监管项目运维服务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为汉中市大气污染热点网格智能监管平台项目中的空气质量监测微站设备进行运维，提供相应的监测数据服务，并为监管平台进行运维服务、数据分析及技术支持，切实保障设备与相关业务系统的正常运行。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投标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投标人应授权合法的人员参加投标，其中法定代表人直接参加的，须出具身份证，并与营业执照上信息一致；被授权代表参加的，须出具法定代表人授权书及被授权人身份证；（非法人单位的负责人均参照执行）：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3、财务状况报告、具有履行合同所必需的设备和专业技术能力的声明、税收缴纳证明、社会保障资金缴纳证明、无重大违法记录声明 ：投标人财务状况报告良好、具有履行合同所必需的设备和专业技术能力的声明、税收缴纳证明、社会保障资金缴纳证明、无重大违法记录声明 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0916-2258330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方宇工程咨询有限公司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陕西省西安市新城区西安市新城区尚勤路151号8层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杨雨恒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0916-2102446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开户名称：方宇工程咨询有限公司汉中汉南分公司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银行账号：61050165500009091213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代理服务费收费标准：参照《国家计委关于印发招标代理服务收费管理暂行办法的通知》（计价格【2002】1980号）文件规定标准下浮5%收取。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w:t>
      </w:r>
      <w:r>
        <w:rPr>
          <w:rFonts w:ascii="仿宋_GB2312" w:hAnsi="仿宋_GB2312" w:cs="仿宋_GB2312" w:eastAsia="仿宋_GB2312"/>
        </w:rPr>
        <w:t>和</w:t>
      </w:r>
      <w:r>
        <w:rPr>
          <w:rFonts w:ascii="仿宋_GB2312" w:hAnsi="仿宋_GB2312" w:cs="仿宋_GB2312" w:eastAsia="仿宋_GB2312"/>
        </w:rPr>
        <w:t>方宇工程咨询有限公司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方宇工程咨询有限公司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方宇工程咨询有限公司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方宇工程咨询有限公司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方宇工程咨询有限公司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联系人：杨雨恒</w:t>
      </w:r>
    </w:p>
    <w:p>
      <w:pPr>
        <w:pStyle w:val="null3"/>
      </w:pPr>
      <w:r>
        <w:rPr>
          <w:rFonts w:ascii="仿宋_GB2312" w:hAnsi="仿宋_GB2312" w:cs="仿宋_GB2312" w:eastAsia="仿宋_GB2312"/>
        </w:rPr>
        <w:t>联系电话：0916-2102446</w:t>
      </w:r>
    </w:p>
    <w:p>
      <w:pPr>
        <w:pStyle w:val="null3"/>
      </w:pPr>
      <w:r>
        <w:rPr>
          <w:rFonts w:ascii="仿宋_GB2312" w:hAnsi="仿宋_GB2312" w:cs="仿宋_GB2312" w:eastAsia="仿宋_GB2312"/>
        </w:rPr>
        <w:t>地址：汉台区滨江西路中交滨江国际118号商铺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为汉中市大气污染热点网格智能监管平台项目中的空气质量监测微站设备进行运维，提供相应的监测数据服务，并为监管平台进行运维服务、数据分析及技术支持，切实保障设备与相关业务系统的正常运行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大气污染热点网格监管项目运维服务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标的名称：大气污染热点网格监管项目运维服务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一、三维立体空气质量实时监测系统服务</w:t>
            </w:r>
          </w:p>
          <w:p>
            <w:pPr>
              <w:pStyle w:val="null3"/>
            </w:pPr>
            <w:r>
              <w:rPr>
                <w:rFonts w:ascii="仿宋_GB2312" w:hAnsi="仿宋_GB2312" w:cs="仿宋_GB2312" w:eastAsia="仿宋_GB2312"/>
                <w:sz w:val="21"/>
              </w:rPr>
              <w:t>衔接生态环境部热点网格监管体系，提供城市高密度空气质量监测数据服务。进一步融合高分辨率气象数据、多来源卫星遥感数据，及地面空气质量监测等数据，通过大数据分析技术，实现空气质量数据智能质控及多源数据融合，提供高精度空气质量逐小时数据及500米×500米空间分辨率的空气质量分布情况，全面感知空气质量状态。</w:t>
            </w:r>
          </w:p>
          <w:p>
            <w:pPr>
              <w:pStyle w:val="null3"/>
              <w:jc w:val="both"/>
            </w:pPr>
            <w:r>
              <w:rPr>
                <w:rFonts w:ascii="仿宋_GB2312" w:hAnsi="仿宋_GB2312" w:cs="仿宋_GB2312" w:eastAsia="仿宋_GB2312"/>
                <w:sz w:val="21"/>
              </w:rPr>
              <w:t>三维立体空气质量实时监测系统以一体化的两参数和多参数微型环境空气质量监测数据服务为基础，结合配套智能采集系统和配套智能运维系统，基于先进的卫星遥感、环境气象、物联网、大数据及人工智能等技术，实现空气质量监测与智能分析的一体化，形成三维立体监测体系，实现微观尺度的地区大气污染空间分布及结构分析，以支持环境精细化管理的工作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二、空气微站监测服务</w:t>
            </w:r>
          </w:p>
          <w:p>
            <w:pPr>
              <w:pStyle w:val="null3"/>
              <w:jc w:val="both"/>
            </w:pPr>
            <w:r>
              <w:rPr>
                <w:rFonts w:ascii="仿宋_GB2312" w:hAnsi="仿宋_GB2312" w:cs="仿宋_GB2312" w:eastAsia="仿宋_GB2312"/>
                <w:sz w:val="21"/>
              </w:rPr>
              <w:t>需对汉中市大气污染热点网格监管项目中涉及的253套各类微型环境空气质量监测设备进行运维，提供相应的监测数据服务，覆盖汉中市汉台区、南郑区、勉县、城固县等4个平川区县全部37个热点网格、国控站周边、重点企业等重点区域。</w:t>
            </w:r>
          </w:p>
          <w:p>
            <w:pPr>
              <w:pStyle w:val="null3"/>
              <w:jc w:val="both"/>
            </w:pPr>
            <w:r>
              <w:rPr>
                <w:rFonts w:ascii="仿宋_GB2312" w:hAnsi="仿宋_GB2312" w:cs="仿宋_GB2312" w:eastAsia="仿宋_GB2312"/>
                <w:sz w:val="21"/>
              </w:rPr>
              <w:t>（1）运维设备数量及类型：空气质量（PM2.5、PM10）两参数微型监测设备数据服务90台；空气质量（PM2.5、PM10、SO2、NO2、O3、CO）六参数微型监测设备数据服务141台；空气质量（PM2.5、PM10、SO2、NO2、O3、CO、TVOC）七参数微型监测设备数据服务20台；空气（PM2.5、PM10、SO2、NO2、O3、CO、TVOC）七参数移动监测仪数据服务2台。</w:t>
            </w:r>
          </w:p>
          <w:p>
            <w:pPr>
              <w:pStyle w:val="null3"/>
              <w:jc w:val="both"/>
            </w:pPr>
            <w:r>
              <w:rPr>
                <w:rFonts w:ascii="仿宋_GB2312" w:hAnsi="仿宋_GB2312" w:cs="仿宋_GB2312" w:eastAsia="仿宋_GB2312"/>
                <w:sz w:val="21"/>
              </w:rPr>
              <w:t>（2）运维参数：</w:t>
            </w:r>
          </w:p>
          <w:tbl>
            <w:tblPr>
              <w:tblInd w:type="dxa" w:w="120"/>
              <w:tblBorders>
                <w:top w:val="none" w:color="000000" w:sz="4"/>
                <w:left w:val="none" w:color="000000" w:sz="4"/>
                <w:bottom w:val="none" w:color="000000" w:sz="4"/>
                <w:right w:val="none" w:color="000000" w:sz="4"/>
                <w:insideH w:val="none"/>
                <w:insideV w:val="none"/>
              </w:tblBorders>
            </w:tblPr>
            <w:tblGrid>
              <w:gridCol w:w="235"/>
              <w:gridCol w:w="611"/>
              <w:gridCol w:w="897"/>
              <w:gridCol w:w="795"/>
            </w:tblGrid>
            <w:tr>
              <w:tc>
                <w:tcPr>
                  <w:tcW w:type="dxa" w:w="23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w:t>
                  </w:r>
                </w:p>
              </w:tc>
              <w:tc>
                <w:tcPr>
                  <w:tcW w:type="dxa" w:w="89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性能</w:t>
                  </w:r>
                </w:p>
              </w:tc>
              <w:tc>
                <w:tcPr>
                  <w:tcW w:type="dxa" w:w="79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538"/>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功能需求</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监测指标</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PM</w:t>
                  </w:r>
                  <w:r>
                    <w:rPr>
                      <w:rFonts w:ascii="仿宋_GB2312" w:hAnsi="仿宋_GB2312" w:cs="仿宋_GB2312" w:eastAsia="仿宋_GB2312"/>
                      <w:sz w:val="21"/>
                      <w:vertAlign w:val="subscript"/>
                    </w:rPr>
                    <w:t>2.5</w:t>
                  </w:r>
                  <w:r>
                    <w:rPr>
                      <w:rFonts w:ascii="仿宋_GB2312" w:hAnsi="仿宋_GB2312" w:cs="仿宋_GB2312" w:eastAsia="仿宋_GB2312"/>
                      <w:sz w:val="21"/>
                    </w:rPr>
                    <w:t>、PM</w:t>
                  </w:r>
                  <w:r>
                    <w:rPr>
                      <w:rFonts w:ascii="仿宋_GB2312" w:hAnsi="仿宋_GB2312" w:cs="仿宋_GB2312" w:eastAsia="仿宋_GB2312"/>
                      <w:sz w:val="21"/>
                      <w:vertAlign w:val="subscript"/>
                    </w:rPr>
                    <w:t>10</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激光散射原理</w:t>
                  </w:r>
                </w:p>
              </w:tc>
            </w:tr>
            <w:tr>
              <w:tc>
                <w:tcPr>
                  <w:tcW w:type="dxa" w:w="235"/>
                  <w:vMerge/>
                  <w:tcBorders>
                    <w:top w:val="none" w:color="000000" w:sz="4"/>
                    <w:left w:val="singl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、NO</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21"/>
                    </w:rPr>
                    <w:t>、CO</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电化学法</w:t>
                  </w:r>
                </w:p>
              </w:tc>
            </w:tr>
            <w:tr>
              <w:tc>
                <w:tcPr>
                  <w:tcW w:type="dxa" w:w="235"/>
                  <w:vMerge/>
                  <w:tcBorders>
                    <w:top w:val="none" w:color="000000" w:sz="4"/>
                    <w:left w:val="singl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TVOC</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PID法</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数据加密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具备数据加密、数据校验等功能</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数据传输</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远程无线传输</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数据采集</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≤5分钟</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是否支持蓄电池</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是，支持8小时使用</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是否能GPS定位</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是否轻便、安装方便、占地少</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总重量≤4.5kg（包括传感器、机箱、电池等）</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具备防水、防雷等功能，支持电子锁防盗等</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8"/>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环境适应性</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电源适应能力</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 220V±22V，50Hz ±1Hz， DC: 48V</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工作温度</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-40℃～70℃</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工作相对湿度</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0~95% RH，无凝结</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贮存运输相对湿度</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15%～95%</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10kPa～110kPa</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功耗</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＜5W（正常情况下）；</w:t>
                  </w:r>
                </w:p>
                <w:p>
                  <w:pPr>
                    <w:pStyle w:val="null3"/>
                    <w:jc w:val="center"/>
                  </w:pPr>
                  <w:r>
                    <w:rPr>
                      <w:rFonts w:ascii="仿宋_GB2312" w:hAnsi="仿宋_GB2312" w:cs="仿宋_GB2312" w:eastAsia="仿宋_GB2312"/>
                      <w:sz w:val="21"/>
                    </w:rPr>
                    <w:t>＜15W（温控启动）</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8"/>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技术指标</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8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量程</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一致性精度</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PM</w:t>
                  </w:r>
                  <w:r>
                    <w:rPr>
                      <w:rFonts w:ascii="仿宋_GB2312" w:hAnsi="仿宋_GB2312" w:cs="仿宋_GB2312" w:eastAsia="仿宋_GB2312"/>
                      <w:sz w:val="21"/>
                      <w:vertAlign w:val="subscript"/>
                    </w:rPr>
                    <w:t>2.5</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0~1000µg/m</w:t>
                  </w:r>
                  <w:r>
                    <w:rPr>
                      <w:rFonts w:ascii="仿宋_GB2312" w:hAnsi="仿宋_GB2312" w:cs="仿宋_GB2312" w:eastAsia="仿宋_GB2312"/>
                      <w:sz w:val="21"/>
                      <w:vertAlign w:val="superscript"/>
                    </w:rPr>
                    <w:t>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＞100μg/m</w:t>
                  </w:r>
                  <w:r>
                    <w:rPr>
                      <w:rFonts w:ascii="仿宋_GB2312" w:hAnsi="仿宋_GB2312" w:cs="仿宋_GB2312" w:eastAsia="仿宋_GB2312"/>
                      <w:sz w:val="21"/>
                      <w:vertAlign w:val="superscript"/>
                    </w:rPr>
                    <w:t>3</w:t>
                  </w:r>
                  <w:r>
                    <w:rPr>
                      <w:rFonts w:ascii="仿宋_GB2312" w:hAnsi="仿宋_GB2312" w:cs="仿宋_GB2312" w:eastAsia="仿宋_GB2312"/>
                      <w:sz w:val="21"/>
                    </w:rPr>
                    <w:t>，±15%</w:t>
                  </w:r>
                </w:p>
                <w:p>
                  <w:pPr>
                    <w:pStyle w:val="null3"/>
                    <w:jc w:val="center"/>
                  </w:pPr>
                  <w:r>
                    <w:rPr>
                      <w:rFonts w:ascii="仿宋_GB2312" w:hAnsi="仿宋_GB2312" w:cs="仿宋_GB2312" w:eastAsia="仿宋_GB2312"/>
                      <w:sz w:val="21"/>
                    </w:rPr>
                    <w:t>＜100μg/m</w:t>
                  </w:r>
                  <w:r>
                    <w:rPr>
                      <w:rFonts w:ascii="仿宋_GB2312" w:hAnsi="仿宋_GB2312" w:cs="仿宋_GB2312" w:eastAsia="仿宋_GB2312"/>
                      <w:sz w:val="21"/>
                      <w:vertAlign w:val="superscript"/>
                    </w:rPr>
                    <w:t>3</w:t>
                  </w:r>
                  <w:r>
                    <w:rPr>
                      <w:rFonts w:ascii="仿宋_GB2312" w:hAnsi="仿宋_GB2312" w:cs="仿宋_GB2312" w:eastAsia="仿宋_GB2312"/>
                      <w:sz w:val="21"/>
                    </w:rPr>
                    <w:t>，±15μg/m</w:t>
                  </w:r>
                  <w:r>
                    <w:rPr>
                      <w:rFonts w:ascii="仿宋_GB2312" w:hAnsi="仿宋_GB2312" w:cs="仿宋_GB2312" w:eastAsia="仿宋_GB2312"/>
                      <w:sz w:val="21"/>
                      <w:vertAlign w:val="superscript"/>
                    </w:rPr>
                    <w:t>3</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PM</w:t>
                  </w:r>
                  <w:r>
                    <w:rPr>
                      <w:rFonts w:ascii="仿宋_GB2312" w:hAnsi="仿宋_GB2312" w:cs="仿宋_GB2312" w:eastAsia="仿宋_GB2312"/>
                      <w:sz w:val="21"/>
                      <w:vertAlign w:val="subscript"/>
                    </w:rPr>
                    <w:t>10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0~1000µg/m</w:t>
                  </w:r>
                  <w:r>
                    <w:rPr>
                      <w:rFonts w:ascii="仿宋_GB2312" w:hAnsi="仿宋_GB2312" w:cs="仿宋_GB2312" w:eastAsia="仿宋_GB2312"/>
                      <w:sz w:val="21"/>
                      <w:vertAlign w:val="superscript"/>
                    </w:rPr>
                    <w:t>3</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＞100μg/m</w:t>
                  </w:r>
                  <w:r>
                    <w:rPr>
                      <w:rFonts w:ascii="仿宋_GB2312" w:hAnsi="仿宋_GB2312" w:cs="仿宋_GB2312" w:eastAsia="仿宋_GB2312"/>
                      <w:sz w:val="21"/>
                      <w:vertAlign w:val="superscript"/>
                    </w:rPr>
                    <w:t>3</w:t>
                  </w:r>
                  <w:r>
                    <w:rPr>
                      <w:rFonts w:ascii="仿宋_GB2312" w:hAnsi="仿宋_GB2312" w:cs="仿宋_GB2312" w:eastAsia="仿宋_GB2312"/>
                      <w:sz w:val="21"/>
                    </w:rPr>
                    <w:t>，±20%</w:t>
                  </w:r>
                </w:p>
                <w:p>
                  <w:pPr>
                    <w:pStyle w:val="null3"/>
                    <w:jc w:val="center"/>
                  </w:pPr>
                  <w:r>
                    <w:rPr>
                      <w:rFonts w:ascii="仿宋_GB2312" w:hAnsi="仿宋_GB2312" w:cs="仿宋_GB2312" w:eastAsia="仿宋_GB2312"/>
                      <w:sz w:val="21"/>
                    </w:rPr>
                    <w:t>＜100μg/m</w:t>
                  </w:r>
                  <w:r>
                    <w:rPr>
                      <w:rFonts w:ascii="仿宋_GB2312" w:hAnsi="仿宋_GB2312" w:cs="仿宋_GB2312" w:eastAsia="仿宋_GB2312"/>
                      <w:sz w:val="21"/>
                      <w:vertAlign w:val="superscript"/>
                    </w:rPr>
                    <w:t>3</w:t>
                  </w:r>
                  <w:r>
                    <w:rPr>
                      <w:rFonts w:ascii="仿宋_GB2312" w:hAnsi="仿宋_GB2312" w:cs="仿宋_GB2312" w:eastAsia="仿宋_GB2312"/>
                      <w:sz w:val="21"/>
                    </w:rPr>
                    <w:t>，±20μg/m</w:t>
                  </w:r>
                  <w:r>
                    <w:rPr>
                      <w:rFonts w:ascii="仿宋_GB2312" w:hAnsi="仿宋_GB2312" w:cs="仿宋_GB2312" w:eastAsia="仿宋_GB2312"/>
                      <w:sz w:val="21"/>
                      <w:vertAlign w:val="superscript"/>
                    </w:rPr>
                    <w:t>3</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SO</w:t>
                  </w:r>
                  <w:r>
                    <w:rPr>
                      <w:rFonts w:ascii="仿宋_GB2312" w:hAnsi="仿宋_GB2312" w:cs="仿宋_GB2312" w:eastAsia="仿宋_GB2312"/>
                      <w:sz w:val="21"/>
                      <w:vertAlign w:val="subscript"/>
                    </w:rPr>
                    <w:t>2</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0-10ppm</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≤±2%·FS</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w:t>
                  </w:r>
                  <w:r>
                    <w:rPr>
                      <w:rFonts w:ascii="仿宋_GB2312" w:hAnsi="仿宋_GB2312" w:cs="仿宋_GB2312" w:eastAsia="仿宋_GB2312"/>
                      <w:sz w:val="21"/>
                      <w:vertAlign w:val="subscript"/>
                    </w:rPr>
                    <w:t>2</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0-10ppm</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≤±2%·FS</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CO</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0-10ppm</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≤±2%·FS</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w:t>
                  </w:r>
                  <w:r>
                    <w:rPr>
                      <w:rFonts w:ascii="仿宋_GB2312" w:hAnsi="仿宋_GB2312" w:cs="仿宋_GB2312" w:eastAsia="仿宋_GB2312"/>
                      <w:sz w:val="21"/>
                      <w:vertAlign w:val="subscript"/>
                    </w:rPr>
                    <w:t>3</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0-5ppm</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≤±2%·FS</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TVOC</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0-50ppm</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≤±2%·FS</w:t>
                  </w:r>
                </w:p>
              </w:tc>
            </w:tr>
          </w:tbl>
          <w:p>
            <w:pPr>
              <w:pStyle w:val="null3"/>
            </w:pPr>
            <w:r>
              <w:rPr>
                <w:rFonts w:ascii="仿宋_GB2312" w:hAnsi="仿宋_GB2312" w:cs="仿宋_GB2312" w:eastAsia="仿宋_GB2312"/>
                <w:sz w:val="21"/>
              </w:rPr>
              <w:t>（3）设备运维要求：对上述253套监测设备提供运行维护工作，包括设备维护、现场巡检、定期校准、故障处理、运维记录等工作，全力保证设备正常平稳运行，监测数据实时正常上传。具体工作如下：季巡查：运维期间每三个月对系统进行一次巡查，根据巡查结果对分析仪器进行校准，保证设备稳定运行，防止因出现漂移等情况影响数据真实可靠；年度检修保养：运行维护人员每年对全套系统进行一次全面检查和保养，对出现老化的部件进行更换。</w:t>
            </w:r>
          </w:p>
          <w:p>
            <w:pPr>
              <w:pStyle w:val="null3"/>
              <w:jc w:val="both"/>
            </w:pPr>
            <w:r>
              <w:rPr>
                <w:rFonts w:ascii="仿宋_GB2312" w:hAnsi="仿宋_GB2312" w:cs="仿宋_GB2312" w:eastAsia="仿宋_GB2312"/>
                <w:sz w:val="21"/>
              </w:rPr>
              <w:t>故障维修：当设备出现故障，必须在4小时之内响应，8小时内赶赴现场对事故进行处理，系统平台诊断、恢复响应时间不得超过24小时。若设备故障24小时内无法排除解决，须提供并更换相应的备机，保证各站点的正常运行；故障检修完成后，均需对设备进行校准后方可使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三、卫星数据及应用服务</w:t>
            </w:r>
          </w:p>
          <w:p>
            <w:pPr>
              <w:pStyle w:val="null3"/>
              <w:jc w:val="both"/>
            </w:pPr>
            <w:r>
              <w:rPr>
                <w:rFonts w:ascii="仿宋_GB2312" w:hAnsi="仿宋_GB2312" w:cs="仿宋_GB2312" w:eastAsia="仿宋_GB2312"/>
                <w:sz w:val="21"/>
              </w:rPr>
              <w:t>支持接入卫星分析结果，并以可视化的方式展示汉中市汉台区、南郑区、勉县、城固县等4个平川区县及周边地区的空气质量反演结果，包括卫星反演的污染物分布等。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四、气象数据及应用服务</w:t>
            </w:r>
          </w:p>
          <w:p>
            <w:pPr>
              <w:pStyle w:val="null3"/>
              <w:jc w:val="both"/>
            </w:pPr>
            <w:r>
              <w:rPr>
                <w:rFonts w:ascii="仿宋_GB2312" w:hAnsi="仿宋_GB2312" w:cs="仿宋_GB2312" w:eastAsia="仿宋_GB2312"/>
                <w:sz w:val="21"/>
              </w:rPr>
              <w:t>支持接入汉中市及周边地区的实时和历史气象数据资料，包括常规气象资料（如地面气压、温度、湿度、风速、风向等）、高空气象资料（如高空温度、湿度、风速、风向）、污染相关气象资料（如逆温）等，并可以可视化的方式进行展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五、热点网格评估及责任量化管理系统服务</w:t>
            </w:r>
          </w:p>
          <w:p>
            <w:pPr>
              <w:pStyle w:val="null3"/>
              <w:jc w:val="both"/>
            </w:pPr>
            <w:r>
              <w:rPr>
                <w:rFonts w:ascii="仿宋_GB2312" w:hAnsi="仿宋_GB2312" w:cs="仿宋_GB2312" w:eastAsia="仿宋_GB2312"/>
                <w:sz w:val="21"/>
              </w:rPr>
              <w:t>（1）热点网格分析</w:t>
            </w:r>
          </w:p>
          <w:p>
            <w:pPr>
              <w:pStyle w:val="null3"/>
            </w:pPr>
            <w:r>
              <w:rPr>
                <w:rFonts w:ascii="仿宋_GB2312" w:hAnsi="仿宋_GB2312" w:cs="仿宋_GB2312" w:eastAsia="仿宋_GB2312"/>
                <w:sz w:val="21"/>
              </w:rPr>
              <w:t>借鉴生态环境部热点网格监管技术，在同样的数据处理规范下，提供汉中市汉台区、南郑区、勉县、城固县等4个平川区县3公里×3公里热点网格分布信息，同时，按照要求提供500m×500m报警小网格分布信息，及时掌握第一手动态，实现对汉中市汉台区、南郑区、勉县、城固县等4个平川区县大气污染重点地区大气污染的协同联动治理，增强治理动力、凝聚地方合力。</w:t>
            </w:r>
          </w:p>
          <w:p>
            <w:pPr>
              <w:pStyle w:val="null3"/>
            </w:pPr>
            <w:r>
              <w:rPr>
                <w:rFonts w:ascii="仿宋_GB2312" w:hAnsi="仿宋_GB2312" w:cs="仿宋_GB2312" w:eastAsia="仿宋_GB2312"/>
                <w:sz w:val="21"/>
              </w:rPr>
              <w:t>具体功能包括：</w:t>
            </w:r>
          </w:p>
          <w:p>
            <w:pPr>
              <w:pStyle w:val="null3"/>
            </w:pPr>
            <w:r>
              <w:rPr>
                <w:rFonts w:ascii="仿宋_GB2312" w:hAnsi="仿宋_GB2312" w:cs="仿宋_GB2312" w:eastAsia="仿宋_GB2312"/>
                <w:sz w:val="21"/>
              </w:rPr>
              <w:t>提供定期更新（每6个月）的汉中市汉台区、南郑区、勉县、城固县等4个平川区县热点网格识别结果及报警小网格基础信息；</w:t>
            </w:r>
          </w:p>
          <w:p>
            <w:pPr>
              <w:pStyle w:val="null3"/>
            </w:pPr>
            <w:r>
              <w:rPr>
                <w:rFonts w:ascii="仿宋_GB2312" w:hAnsi="仿宋_GB2312" w:cs="仿宋_GB2312" w:eastAsia="仿宋_GB2312"/>
                <w:sz w:val="21"/>
              </w:rPr>
              <w:t>对热点网格的污染物浓度进行实时跟踪与评估；</w:t>
            </w:r>
          </w:p>
          <w:p>
            <w:pPr>
              <w:pStyle w:val="null3"/>
              <w:jc w:val="both"/>
            </w:pPr>
            <w:r>
              <w:rPr>
                <w:rFonts w:ascii="仿宋_GB2312" w:hAnsi="仿宋_GB2312" w:cs="仿宋_GB2312" w:eastAsia="仿宋_GB2312"/>
                <w:sz w:val="21"/>
              </w:rPr>
              <w:t>对热点网格异常行为进行及时预警。</w:t>
            </w:r>
          </w:p>
          <w:p>
            <w:pPr>
              <w:pStyle w:val="null3"/>
              <w:jc w:val="both"/>
            </w:pPr>
            <w:r>
              <w:rPr>
                <w:rFonts w:ascii="仿宋_GB2312" w:hAnsi="仿宋_GB2312" w:cs="仿宋_GB2312" w:eastAsia="仿宋_GB2312"/>
                <w:sz w:val="21"/>
              </w:rPr>
              <w:t>（2）热点网格污染浓度分析</w:t>
            </w:r>
          </w:p>
          <w:p>
            <w:pPr>
              <w:pStyle w:val="null3"/>
              <w:jc w:val="both"/>
            </w:pPr>
            <w:r>
              <w:rPr>
                <w:rFonts w:ascii="仿宋_GB2312" w:hAnsi="仿宋_GB2312" w:cs="仿宋_GB2312" w:eastAsia="仿宋_GB2312"/>
                <w:sz w:val="21"/>
              </w:rPr>
              <w:t>提供汉中市汉台区、南郑区、勉县、城固县等4个平川区县所覆盖的热点网格区域空气质量监测网络的实时数据，并与高分辨率气象信息和多来源卫星遥感数据融合，提供热点网格区域500米×500米分辨率的高精度空气质量污染物分布，全面感知热点网格重点监管区域的空气质量状态。</w:t>
            </w:r>
          </w:p>
          <w:p>
            <w:pPr>
              <w:pStyle w:val="null3"/>
              <w:jc w:val="both"/>
            </w:pPr>
            <w:r>
              <w:rPr>
                <w:rFonts w:ascii="仿宋_GB2312" w:hAnsi="仿宋_GB2312" w:cs="仿宋_GB2312" w:eastAsia="仿宋_GB2312"/>
                <w:sz w:val="21"/>
              </w:rPr>
              <w:t>（3）热点网格排名考核和属地管理</w:t>
            </w:r>
          </w:p>
          <w:p>
            <w:pPr>
              <w:pStyle w:val="null3"/>
            </w:pPr>
            <w:r>
              <w:rPr>
                <w:rFonts w:ascii="仿宋_GB2312" w:hAnsi="仿宋_GB2312" w:cs="仿宋_GB2312" w:eastAsia="仿宋_GB2312"/>
                <w:sz w:val="21"/>
              </w:rPr>
              <w:t>基于设备和网格数据，并与卫星、气象、子站等数据进行大数据融合与分析，按周、月、年评估热点网格的污染水平和变化趋势，并给出同比、环比排名、重点污染时段浓度等指标进行评估，生成报表和综合分析报告，并对热点网格退出机制和增补机制给出决策支持。</w:t>
            </w:r>
          </w:p>
          <w:p>
            <w:pPr>
              <w:pStyle w:val="null3"/>
            </w:pPr>
            <w:r>
              <w:rPr>
                <w:rFonts w:ascii="仿宋_GB2312" w:hAnsi="仿宋_GB2312" w:cs="仿宋_GB2312" w:eastAsia="仿宋_GB2312"/>
                <w:sz w:val="21"/>
              </w:rPr>
              <w:t>具体功能如下：</w:t>
            </w:r>
          </w:p>
          <w:p>
            <w:pPr>
              <w:pStyle w:val="null3"/>
            </w:pPr>
            <w:r>
              <w:rPr>
                <w:rFonts w:ascii="仿宋_GB2312" w:hAnsi="仿宋_GB2312" w:cs="仿宋_GB2312" w:eastAsia="仿宋_GB2312"/>
                <w:sz w:val="21"/>
              </w:rPr>
              <w:t>1）热点网格综合评估</w:t>
            </w:r>
          </w:p>
          <w:p>
            <w:pPr>
              <w:pStyle w:val="null3"/>
            </w:pPr>
            <w:r>
              <w:rPr>
                <w:rFonts w:ascii="仿宋_GB2312" w:hAnsi="仿宋_GB2312" w:cs="仿宋_GB2312" w:eastAsia="仿宋_GB2312"/>
                <w:sz w:val="21"/>
              </w:rPr>
              <w:t>按周、月的时间区段，给出热点网格评估报表，包括：</w:t>
            </w:r>
          </w:p>
          <w:p>
            <w:pPr>
              <w:pStyle w:val="null3"/>
            </w:pPr>
            <w:r>
              <w:rPr>
                <w:rFonts w:ascii="仿宋_GB2312" w:hAnsi="仿宋_GB2312" w:cs="仿宋_GB2312" w:eastAsia="仿宋_GB2312"/>
                <w:sz w:val="21"/>
              </w:rPr>
              <w:t>汉中市汉台区、南郑区、勉县、城固县等4个平川区县热点网格综合评估；</w:t>
            </w:r>
          </w:p>
          <w:p>
            <w:pPr>
              <w:pStyle w:val="null3"/>
            </w:pPr>
            <w:r>
              <w:rPr>
                <w:rFonts w:ascii="仿宋_GB2312" w:hAnsi="仿宋_GB2312" w:cs="仿宋_GB2312" w:eastAsia="仿宋_GB2312"/>
                <w:sz w:val="21"/>
              </w:rPr>
              <w:t>各区县热点网格综合评估。</w:t>
            </w:r>
          </w:p>
          <w:p>
            <w:pPr>
              <w:pStyle w:val="null3"/>
            </w:pPr>
            <w:r>
              <w:rPr>
                <w:rFonts w:ascii="仿宋_GB2312" w:hAnsi="仿宋_GB2312" w:cs="仿宋_GB2312" w:eastAsia="仿宋_GB2312"/>
                <w:sz w:val="21"/>
              </w:rPr>
              <w:t>2）热点网格综合排名</w:t>
            </w:r>
          </w:p>
          <w:p>
            <w:pPr>
              <w:pStyle w:val="null3"/>
            </w:pPr>
            <w:r>
              <w:rPr>
                <w:rFonts w:ascii="仿宋_GB2312" w:hAnsi="仿宋_GB2312" w:cs="仿宋_GB2312" w:eastAsia="仿宋_GB2312"/>
                <w:sz w:val="21"/>
              </w:rPr>
              <w:t>每月、每年或可选择的时间区段，给出热点网格的污染物浓度排名情况以及同比、环比变化等，包括：</w:t>
            </w:r>
          </w:p>
          <w:p>
            <w:pPr>
              <w:pStyle w:val="null3"/>
            </w:pPr>
            <w:r>
              <w:rPr>
                <w:rFonts w:ascii="仿宋_GB2312" w:hAnsi="仿宋_GB2312" w:cs="仿宋_GB2312" w:eastAsia="仿宋_GB2312"/>
                <w:sz w:val="21"/>
              </w:rPr>
              <w:t>汉中市汉台区、南郑区、勉县、城固县等4个平川区县热点网格污染物浓度当月排名；</w:t>
            </w:r>
          </w:p>
          <w:p>
            <w:pPr>
              <w:pStyle w:val="null3"/>
            </w:pPr>
            <w:r>
              <w:rPr>
                <w:rFonts w:ascii="仿宋_GB2312" w:hAnsi="仿宋_GB2312" w:cs="仿宋_GB2312" w:eastAsia="仿宋_GB2312"/>
                <w:sz w:val="21"/>
              </w:rPr>
              <w:t>汉中市汉台区、南郑区、勉县、城固县等4个平川区县热点网格污染物浓度同比变化排名；</w:t>
            </w:r>
          </w:p>
          <w:p>
            <w:pPr>
              <w:pStyle w:val="null3"/>
              <w:jc w:val="both"/>
            </w:pPr>
            <w:r>
              <w:rPr>
                <w:rFonts w:ascii="仿宋_GB2312" w:hAnsi="仿宋_GB2312" w:cs="仿宋_GB2312" w:eastAsia="仿宋_GB2312"/>
                <w:sz w:val="21"/>
              </w:rPr>
              <w:t>汉中市汉台区、南郑区、勉县、城固县等4个平川区县热点网格污染物浓度环比变化排名。</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六、热点网格智能污染异常报警及监管支持系统服务</w:t>
            </w:r>
          </w:p>
          <w:p>
            <w:pPr>
              <w:pStyle w:val="null3"/>
              <w:jc w:val="both"/>
            </w:pPr>
            <w:r>
              <w:rPr>
                <w:rFonts w:ascii="仿宋_GB2312" w:hAnsi="仿宋_GB2312" w:cs="仿宋_GB2312" w:eastAsia="仿宋_GB2312"/>
                <w:sz w:val="21"/>
              </w:rPr>
              <w:t>（1）热点网格智能污染异常报警</w:t>
            </w:r>
          </w:p>
          <w:p>
            <w:pPr>
              <w:pStyle w:val="null3"/>
            </w:pPr>
            <w:r>
              <w:rPr>
                <w:rFonts w:ascii="仿宋_GB2312" w:hAnsi="仿宋_GB2312" w:cs="仿宋_GB2312" w:eastAsia="仿宋_GB2312"/>
                <w:sz w:val="21"/>
              </w:rPr>
              <w:t>基于接入的卫星分析数据、气象数据，与密度空气质量监测网络进行融合，对热点网格污染物浓度进行实时汇总跟踪。能够以网页及手机app的形式，在地图上显示热点网格污染浓度。自动智能识别重点污染区，自动跟踪并分析异常污染特征，掌握变化规律。明确属地内具体哪些区域需要重点关注，哪些区域是污染治理和监管的重点区域，为属地发现异常排放区域、了解污染排放规律、落实污染控制和执法提供强有力的支撑。具体包括：</w:t>
            </w:r>
          </w:p>
          <w:p>
            <w:pPr>
              <w:pStyle w:val="null3"/>
            </w:pPr>
            <w:r>
              <w:rPr>
                <w:rFonts w:ascii="仿宋_GB2312" w:hAnsi="仿宋_GB2312" w:cs="仿宋_GB2312" w:eastAsia="仿宋_GB2312"/>
                <w:sz w:val="21"/>
              </w:rPr>
              <w:t>能够按小时自动分析和识别异常污染行为，给出实时报警。</w:t>
            </w:r>
          </w:p>
          <w:p>
            <w:pPr>
              <w:pStyle w:val="null3"/>
            </w:pPr>
            <w:r>
              <w:rPr>
                <w:rFonts w:ascii="仿宋_GB2312" w:hAnsi="仿宋_GB2312" w:cs="仿宋_GB2312" w:eastAsia="仿宋_GB2312"/>
                <w:sz w:val="21"/>
              </w:rPr>
              <w:t>能够根据过去七天污染物浓度变化趋势，识别重点污染区域，给出网格报警。</w:t>
            </w:r>
          </w:p>
          <w:p>
            <w:pPr>
              <w:pStyle w:val="null3"/>
              <w:jc w:val="both"/>
            </w:pPr>
            <w:r>
              <w:rPr>
                <w:rFonts w:ascii="仿宋_GB2312" w:hAnsi="仿宋_GB2312" w:cs="仿宋_GB2312" w:eastAsia="仿宋_GB2312"/>
                <w:sz w:val="21"/>
              </w:rPr>
              <w:t>能够在GIS中展示500米×500米网格报警信息，查询当前及历史报警信息，包括报警位置、报警详情等。</w:t>
            </w:r>
          </w:p>
          <w:p>
            <w:pPr>
              <w:pStyle w:val="null3"/>
              <w:jc w:val="both"/>
            </w:pPr>
            <w:r>
              <w:rPr>
                <w:rFonts w:ascii="仿宋_GB2312" w:hAnsi="仿宋_GB2312" w:cs="仿宋_GB2312" w:eastAsia="仿宋_GB2312"/>
                <w:sz w:val="21"/>
              </w:rPr>
              <w:t>（2）热点网格监管支持系统</w:t>
            </w:r>
          </w:p>
          <w:p>
            <w:pPr>
              <w:pStyle w:val="null3"/>
              <w:jc w:val="both"/>
            </w:pPr>
            <w:r>
              <w:rPr>
                <w:rFonts w:ascii="仿宋_GB2312" w:hAnsi="仿宋_GB2312" w:cs="仿宋_GB2312" w:eastAsia="仿宋_GB2312"/>
                <w:sz w:val="21"/>
              </w:rPr>
              <w:t>可根据汉中市当地属地管理特点，结合热点网格运行考核机制，开发相应的模块，可将现场检查反馈、转办/交办、整改等流程整合到系统中，并可根据热点网格内报警次数、反馈时间、转办/交办时间、整改时间、整改结果等信息对热点网格相关负责人或属地自动进行评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七、重点区域精细化监管服务</w:t>
            </w:r>
          </w:p>
          <w:p>
            <w:pPr>
              <w:pStyle w:val="null3"/>
            </w:pPr>
            <w:r>
              <w:rPr>
                <w:rFonts w:ascii="仿宋_GB2312" w:hAnsi="仿宋_GB2312" w:cs="仿宋_GB2312" w:eastAsia="仿宋_GB2312"/>
                <w:sz w:val="21"/>
              </w:rPr>
              <w:t>基于三维立体监测网络及大数据人工智能技术，实现重点区域污染智能实时分析，辅助重点区域的精细化环境管理。能够提供汉中市重点区域污染异常原因进行分析，包括：</w:t>
            </w:r>
          </w:p>
          <w:p>
            <w:pPr>
              <w:pStyle w:val="null3"/>
            </w:pPr>
            <w:r>
              <w:rPr>
                <w:rFonts w:ascii="仿宋_GB2312" w:hAnsi="仿宋_GB2312" w:cs="仿宋_GB2312" w:eastAsia="仿宋_GB2312"/>
                <w:sz w:val="21"/>
              </w:rPr>
              <w:t>1)周边区域对重点区域传输贡献的量化分析，能够提供各方向对重点区域污染传输贡献的量化分析结果，以图片和表格的方式呈现。</w:t>
            </w:r>
          </w:p>
          <w:p>
            <w:pPr>
              <w:pStyle w:val="null3"/>
            </w:pPr>
            <w:r>
              <w:rPr>
                <w:rFonts w:ascii="仿宋_GB2312" w:hAnsi="仿宋_GB2312" w:cs="仿宋_GB2312" w:eastAsia="仿宋_GB2312"/>
                <w:sz w:val="21"/>
              </w:rPr>
              <w:t>2)能够自动识别特定时段重点区域主要影响污染源。</w:t>
            </w:r>
          </w:p>
          <w:p>
            <w:pPr>
              <w:pStyle w:val="null3"/>
              <w:jc w:val="both"/>
            </w:pPr>
            <w:r>
              <w:rPr>
                <w:rFonts w:ascii="仿宋_GB2312" w:hAnsi="仿宋_GB2312" w:cs="仿宋_GB2312" w:eastAsia="仿宋_GB2312"/>
                <w:sz w:val="21"/>
              </w:rPr>
              <w:t>3)能够提供周边污染浓度曲线对比分析。</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八、污染过程分析系统服务</w:t>
            </w:r>
          </w:p>
          <w:p>
            <w:pPr>
              <w:pStyle w:val="null3"/>
              <w:jc w:val="both"/>
            </w:pPr>
            <w:r>
              <w:rPr>
                <w:rFonts w:ascii="仿宋_GB2312" w:hAnsi="仿宋_GB2312" w:cs="仿宋_GB2312" w:eastAsia="仿宋_GB2312"/>
                <w:sz w:val="21"/>
              </w:rPr>
              <w:t>支持从污染传输、本地污染影响、浓度变化趋势、空间分布特征、气象要素影响等多维度对汉中市典型污染过程空气质量变化规律和成因特点进行综合分析。</w:t>
            </w:r>
          </w:p>
          <w:p>
            <w:pPr>
              <w:pStyle w:val="null3"/>
            </w:pPr>
            <w:r>
              <w:rPr>
                <w:rFonts w:ascii="仿宋_GB2312" w:hAnsi="仿宋_GB2312" w:cs="仿宋_GB2312" w:eastAsia="仿宋_GB2312"/>
                <w:sz w:val="21"/>
              </w:rPr>
              <w:t>气象影响分析</w:t>
            </w:r>
          </w:p>
          <w:p>
            <w:pPr>
              <w:pStyle w:val="null3"/>
            </w:pPr>
            <w:r>
              <w:rPr>
                <w:rFonts w:ascii="仿宋_GB2312" w:hAnsi="仿宋_GB2312" w:cs="仿宋_GB2312" w:eastAsia="仿宋_GB2312"/>
                <w:sz w:val="21"/>
              </w:rPr>
              <w:t>分析汉中市特定时段污染扩散条件（风速、风向、温度、湿度、边界层高度等）。</w:t>
            </w:r>
          </w:p>
          <w:p>
            <w:pPr>
              <w:pStyle w:val="null3"/>
            </w:pPr>
            <w:r>
              <w:rPr>
                <w:rFonts w:ascii="仿宋_GB2312" w:hAnsi="仿宋_GB2312" w:cs="仿宋_GB2312" w:eastAsia="仿宋_GB2312"/>
                <w:sz w:val="21"/>
              </w:rPr>
              <w:t>（1）污染传输分析</w:t>
            </w:r>
          </w:p>
          <w:p>
            <w:pPr>
              <w:pStyle w:val="null3"/>
            </w:pPr>
            <w:r>
              <w:rPr>
                <w:rFonts w:ascii="仿宋_GB2312" w:hAnsi="仿宋_GB2312" w:cs="仿宋_GB2312" w:eastAsia="仿宋_GB2312"/>
                <w:sz w:val="21"/>
              </w:rPr>
              <w:t>可计算大气污染在汉中市和周边地区的传输量，支持以可视化的方式展示污染物沿属地边界传输通量及传输方向。</w:t>
            </w:r>
          </w:p>
          <w:p>
            <w:pPr>
              <w:pStyle w:val="null3"/>
            </w:pPr>
            <w:r>
              <w:rPr>
                <w:rFonts w:ascii="仿宋_GB2312" w:hAnsi="仿宋_GB2312" w:cs="仿宋_GB2312" w:eastAsia="仿宋_GB2312"/>
                <w:sz w:val="21"/>
              </w:rPr>
              <w:t>（2）可分析其外来传输污染物的来源区域及其贡献率，支持污染物跨区域传输按小时、日、月的定量分析。</w:t>
            </w:r>
          </w:p>
          <w:p>
            <w:pPr>
              <w:pStyle w:val="null3"/>
              <w:jc w:val="both"/>
            </w:pPr>
            <w:r>
              <w:rPr>
                <w:rFonts w:ascii="仿宋_GB2312" w:hAnsi="仿宋_GB2312" w:cs="仿宋_GB2312" w:eastAsia="仿宋_GB2312"/>
                <w:sz w:val="21"/>
              </w:rPr>
              <w:t>可计算扣除跨区域传输作用后本地污染物对环境的影响量。</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九、空气质量全景驾驶舱服务</w:t>
            </w:r>
          </w:p>
          <w:p>
            <w:pPr>
              <w:pStyle w:val="null3"/>
              <w:jc w:val="both"/>
            </w:pPr>
            <w:r>
              <w:rPr>
                <w:rFonts w:ascii="仿宋_GB2312" w:hAnsi="仿宋_GB2312" w:cs="仿宋_GB2312" w:eastAsia="仿宋_GB2312"/>
                <w:sz w:val="21"/>
              </w:rPr>
              <w:t>（1）全景展示</w:t>
            </w:r>
          </w:p>
          <w:p>
            <w:pPr>
              <w:pStyle w:val="null3"/>
              <w:jc w:val="both"/>
            </w:pPr>
            <w:r>
              <w:rPr>
                <w:rFonts w:ascii="仿宋_GB2312" w:hAnsi="仿宋_GB2312" w:cs="仿宋_GB2312" w:eastAsia="仿宋_GB2312"/>
                <w:sz w:val="21"/>
              </w:rPr>
              <w:t>全景展示模块针对环境空气质量数据、污染源数据、气象场数据、环境卫星遥感数据等大气环境信息类别，将监测数据及业务数据以图表、GIS等形式统一显示，并通过颜色、形状等可视化元素进行区分，提供多维度的环境信息展示。</w:t>
            </w:r>
          </w:p>
          <w:p>
            <w:pPr>
              <w:pStyle w:val="null3"/>
              <w:jc w:val="both"/>
            </w:pPr>
            <w:r>
              <w:rPr>
                <w:rFonts w:ascii="仿宋_GB2312" w:hAnsi="仿宋_GB2312" w:cs="仿宋_GB2312" w:eastAsia="仿宋_GB2312"/>
                <w:sz w:val="21"/>
              </w:rPr>
              <w:t>（2）GIS展示</w:t>
            </w:r>
          </w:p>
          <w:p>
            <w:pPr>
              <w:pStyle w:val="null3"/>
            </w:pPr>
            <w:r>
              <w:rPr>
                <w:rFonts w:ascii="仿宋_GB2312" w:hAnsi="仿宋_GB2312" w:cs="仿宋_GB2312" w:eastAsia="仿宋_GB2312"/>
                <w:sz w:val="21"/>
              </w:rPr>
              <w:t>1）实时数据展示：全景展示模块针对环境空气质量数据、污染源数据、气象数据等大气环境信息类别，将监测数据及业务数据以图表、GIS等形式统一显示，并通过颜色、形状等可视化元素进行区分，提供多维度的环境信息展示。</w:t>
            </w:r>
          </w:p>
          <w:p>
            <w:pPr>
              <w:pStyle w:val="null3"/>
            </w:pPr>
            <w:r>
              <w:rPr>
                <w:rFonts w:ascii="仿宋_GB2312" w:hAnsi="仿宋_GB2312" w:cs="仿宋_GB2312" w:eastAsia="仿宋_GB2312"/>
                <w:sz w:val="21"/>
              </w:rPr>
              <w:t>2）空气质量分布展示：提供汉中市汉台区、南郑区、勉县、城固县等4个平川区县范围的空气质量分布趋势展示，支持时间查询和动态播放功能。</w:t>
            </w:r>
          </w:p>
          <w:p>
            <w:pPr>
              <w:pStyle w:val="null3"/>
              <w:jc w:val="both"/>
            </w:pPr>
            <w:r>
              <w:rPr>
                <w:rFonts w:ascii="仿宋_GB2312" w:hAnsi="仿宋_GB2312" w:cs="仿宋_GB2312" w:eastAsia="仿宋_GB2312"/>
                <w:sz w:val="21"/>
              </w:rPr>
              <w:t>3）污染异常区域展示：支持在GIS上提供按不同气象、污染和时段等条件的筛选，实现对于实时及历史任意时段的污染异常区域识别和展示。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十、手机App监察执法支持服务</w:t>
            </w:r>
          </w:p>
          <w:p>
            <w:pPr>
              <w:pStyle w:val="null3"/>
              <w:jc w:val="both"/>
            </w:pPr>
            <w:r>
              <w:rPr>
                <w:rFonts w:ascii="仿宋_GB2312" w:hAnsi="仿宋_GB2312" w:cs="仿宋_GB2312" w:eastAsia="仿宋_GB2312"/>
                <w:sz w:val="21"/>
              </w:rPr>
              <w:t>支持在手机App上以地图方式展示汉中市微型环境空气质量监测仪数据、热点网格分布、网格报警、实时报警、现场反馈记录等。同时，网格员可以在手机App中针对报警信息录入现场检查反馈，包括是否存在问题、问题类型、污染源信息、现场图片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十一、大数据专家（驻场）服务</w:t>
            </w:r>
          </w:p>
          <w:p>
            <w:pPr>
              <w:pStyle w:val="null3"/>
            </w:pPr>
            <w:r>
              <w:rPr>
                <w:rFonts w:ascii="仿宋_GB2312" w:hAnsi="仿宋_GB2312" w:cs="仿宋_GB2312" w:eastAsia="仿宋_GB2312"/>
                <w:sz w:val="21"/>
              </w:rPr>
              <w:t>安排驻场人员2人，配备后方技术专家，辅助建立大气热点网格监管工作的管理体系，定期、污染期间、应急状态及其他特殊场景下，提供研判会商服务，服务包括但不限于：</w:t>
            </w:r>
          </w:p>
          <w:p>
            <w:pPr>
              <w:pStyle w:val="null3"/>
            </w:pPr>
            <w:r>
              <w:rPr>
                <w:rFonts w:ascii="仿宋_GB2312" w:hAnsi="仿宋_GB2312" w:cs="仿宋_GB2312" w:eastAsia="仿宋_GB2312"/>
                <w:sz w:val="21"/>
              </w:rPr>
              <w:t>1）协助建立全市的监管工作的管理体系；</w:t>
            </w:r>
          </w:p>
          <w:p>
            <w:pPr>
              <w:pStyle w:val="null3"/>
            </w:pPr>
            <w:r>
              <w:rPr>
                <w:rFonts w:ascii="仿宋_GB2312" w:hAnsi="仿宋_GB2312" w:cs="仿宋_GB2312" w:eastAsia="仿宋_GB2312"/>
                <w:sz w:val="21"/>
              </w:rPr>
              <w:t>2）提供专业的空气质量日报、周报、月报、季度和半年/年分析报告；</w:t>
            </w:r>
          </w:p>
          <w:p>
            <w:pPr>
              <w:pStyle w:val="null3"/>
            </w:pPr>
            <w:r>
              <w:rPr>
                <w:rFonts w:ascii="仿宋_GB2312" w:hAnsi="仿宋_GB2312" w:cs="仿宋_GB2312" w:eastAsia="仿宋_GB2312"/>
                <w:sz w:val="21"/>
              </w:rPr>
              <w:t>3）提供专题分析报告，包括污染传输分析、重污染天气应急预警报告；</w:t>
            </w:r>
          </w:p>
          <w:p>
            <w:pPr>
              <w:pStyle w:val="null3"/>
            </w:pPr>
            <w:r>
              <w:rPr>
                <w:rFonts w:ascii="仿宋_GB2312" w:hAnsi="仿宋_GB2312" w:cs="仿宋_GB2312" w:eastAsia="仿宋_GB2312"/>
                <w:sz w:val="21"/>
              </w:rPr>
              <w:t>4）提供具有建设性的空气质量改善意见和管控措施；</w:t>
            </w:r>
          </w:p>
          <w:p>
            <w:pPr>
              <w:pStyle w:val="null3"/>
              <w:jc w:val="both"/>
            </w:pPr>
            <w:r>
              <w:rPr>
                <w:rFonts w:ascii="仿宋_GB2312" w:hAnsi="仿宋_GB2312" w:cs="仿宋_GB2312" w:eastAsia="仿宋_GB2312"/>
                <w:sz w:val="21"/>
              </w:rPr>
              <w:t>5）提供部门与属地的监管支持和培训。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满足采购需求及相关服务要求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服务满6个月、乙方提供的服务达到日常运维服务标准后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服务期结束、乙方提供的服务通过甲方的评估考核后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本项目专门面向中小企业采购，标的物所属行业为其他未列明行业。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投标人具有独立承担民事责任能力的法人、其他组织或自然人，并出具合法有效的营业执照或事业单位法人证书等国家规定的相关证明，自然人参与的提供其身份证明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3322"/>
          </w:tcPr>
          <w:p>
            <w:pPr>
              <w:pStyle w:val="null3"/>
            </w:pPr>
            <w:r>
              <w:rPr>
                <w:rFonts w:ascii="仿宋_GB2312" w:hAnsi="仿宋_GB2312" w:cs="仿宋_GB2312" w:eastAsia="仿宋_GB2312"/>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法定代表人身份证明及授权委托书.docx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财务状况报告、具有履行合同所必需的设备和专业技术能力的声明、税收缴纳证明、社会保障资金缴纳证明、无重大违法记录声明</w:t>
            </w:r>
          </w:p>
        </w:tc>
        <w:tc>
          <w:tcPr>
            <w:tcW w:type="dxa" w:w="3322"/>
          </w:tcPr>
          <w:p>
            <w:pPr>
              <w:pStyle w:val="null3"/>
            </w:pPr>
            <w:r>
              <w:rPr>
                <w:rFonts w:ascii="仿宋_GB2312" w:hAnsi="仿宋_GB2312" w:cs="仿宋_GB2312" w:eastAsia="仿宋_GB2312"/>
              </w:rPr>
              <w:t>投标人财务状况报告良好、具有履行合同所必需的设备和专业技术能力的声明、税收缴纳证明、社会保障资金缴纳证明、无重大违法记录声明 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投标文件语言及有效期符合磋商文件要求。加盖公章。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投标文件封面、投标函、法定代表人授权委托书的项目名称、项目编号</w:t>
            </w:r>
          </w:p>
        </w:tc>
        <w:tc>
          <w:tcPr>
            <w:tcW w:type="dxa" w:w="3322"/>
          </w:tcPr>
          <w:p>
            <w:pPr>
              <w:pStyle w:val="null3"/>
            </w:pPr>
            <w:r>
              <w:rPr>
                <w:rFonts w:ascii="仿宋_GB2312" w:hAnsi="仿宋_GB2312" w:cs="仿宋_GB2312" w:eastAsia="仿宋_GB2312"/>
              </w:rPr>
              <w:t>均无遗漏，且与所投项目名称、项目编号一致。加盖公章。</w:t>
            </w:r>
          </w:p>
        </w:tc>
        <w:tc>
          <w:tcPr>
            <w:tcW w:type="dxa" w:w="1661"/>
          </w:tcPr>
          <w:p>
            <w:pPr>
              <w:pStyle w:val="null3"/>
            </w:pPr>
            <w:r>
              <w:rPr>
                <w:rFonts w:ascii="仿宋_GB2312" w:hAnsi="仿宋_GB2312" w:cs="仿宋_GB2312" w:eastAsia="仿宋_GB2312"/>
              </w:rPr>
              <w:t>法定代表人身份证明及授权委托书.docx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实质性条款要求</w:t>
            </w:r>
          </w:p>
        </w:tc>
        <w:tc>
          <w:tcPr>
            <w:tcW w:type="dxa" w:w="3322"/>
          </w:tcPr>
          <w:p>
            <w:pPr>
              <w:pStyle w:val="null3"/>
            </w:pPr>
            <w:r>
              <w:rPr>
                <w:rFonts w:ascii="仿宋_GB2312" w:hAnsi="仿宋_GB2312" w:cs="仿宋_GB2312" w:eastAsia="仿宋_GB2312"/>
              </w:rPr>
              <w:t>完全理解并接受招标文件的实质性要求，没有负偏离。</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一、评审内容：针对本项目概况及需求对本项目进行分析理解，包括：①项目概况及服务周期；②项目建设目标；③项目需求情况等。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一、评审内容：提供完整的项目服务内容及运维方案，包括：①总体服务内容；②运维服务计划及要求；③现场运维方案； ④远端运维方案等。根据方案的响应程度计分： 二、赋分标准 1、完整性：方案内容完整全面，对上述各项内容均有描述及说明，得8分；缺1项，得6分；缺2项，得4分；缺3项，得2分；缺4项，得0分。 2、针对性：针对性强，得6分；针对性一般，得3分；缺乏针对性，得0分。 3、可实施性：可实施性强，得6分；可实施性一般，得3分；缺乏可实施性，得0分。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一、评审内容：提供完整的项目保障方案，包括：①组织协调方案；②项目机构组成；③项目时间进度控制方案等。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一、评审内容：针对项目实施过程中，因特殊情况对项目的要求有特殊的应急服务，制定相应的处理方案。包括：①应急保障处理原则；②应急保障预案；③应急资源调度。 二、赋分标准 1、完整性：方案内容完整全面，对上述各项内容均有描述及说明，得4分；缺1项，得2分；缺2项，得1分；缺3项，得0分。 2、针对性：针对性强，得4分；针对性一般，得2分；缺乏针对性，得0分。 3、可实施性：可实施性强，得4分；可实施性一般，得2分；缺乏可实施性，得0分。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一、评审内容：根据各投标人承诺的对采购人技术人员培训方案：包括：①培训目标；②培训计划；③培训措施等。 二、赋分标准 1、完整性：方案内容完整全面，对上述各项内容均有描述及说明，得3分；缺1项，得2分；缺2项，得1分；缺3项，得0分。 2、针对性：针对性强，得3分；针对性一般，得1.5分；缺乏针对性，得0分。 3、可实施性：可实施性强，得3分；可实施性一般，得1.5分；缺乏可实施性，得0分。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投标人能够提供2022年01月01日至今签署类似项目业绩合同，每提供一份得2分，最多得8分，同一最终用户的项目不重复得分。 注：投标文件中提供业绩合同扫描件，合同中需反映出上述业绩项目内容、合同签订时间、签字盖章页，业绩时间以合同签订时间为准。若以上证明材料无法体现项目内容等关键评审因素的，须同时提供业主单位证明材料扫描件加盖公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拟派项目人员组成</w:t>
            </w:r>
          </w:p>
        </w:tc>
        <w:tc>
          <w:tcPr>
            <w:tcW w:type="dxa" w:w="2492"/>
          </w:tcPr>
          <w:p>
            <w:pPr>
              <w:pStyle w:val="null3"/>
            </w:pPr>
            <w:r>
              <w:rPr>
                <w:rFonts w:ascii="仿宋_GB2312" w:hAnsi="仿宋_GB2312" w:cs="仿宋_GB2312" w:eastAsia="仿宋_GB2312"/>
              </w:rPr>
              <w:t>本项目要求安排驻场人员2人，并配备后方技术专家，供应商满足项目人员配备要求的得5分。在满足上述要求的基础上，拟派人员具有环境保护、网络工程、自动化等相关专业中级及以上工程师职称证书或资格证书的，每具有1人加1分。本项满分9分。 注:须提供上述人员名单及相关证书扫描件，并提供供应商为其缴纳近3个月内任意1个月的社保证明材料并加盖公章。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1.投标人具有ISO14001环境管理体系认证证书的得1分； 2.投标人具有ISO20000信息技术服务管理体系认证证书的得1分； 3.投标人具有ISO27001信息安全管理体系认证证书的得1分； 4.投标人具有ISO9001质量管理体系认证证书的得1分。 注:须提供上述认证证书的扫描件，不提供不得分。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1.经资格审查及符合性审查合格的投标人，其投标总报价为有效报价。 2.有效最低报价为评标基准价，得20分； 3.其他投标人的价格分统一按照下列公式计算：投标报价得分=（评标基准价/投标报价）×20； 4.投标报价超过采购预算，按无效投标处理。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