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版本号：SCZD2025-CS-1810-00120250729002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飞利浦超声维保项目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SCZD2025-CS-1810-001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飞利浦超声维保项目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SCZD2025-CS-1810-001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飞利浦超声维保项目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飞利浦超声维保，服务期：3年（每年考核合格后续签）。预算金额：51万元/年。保修内容：1. 超声科1台EPIQ7C，1台A70，2台A50一年期全保；2. 保修期内，超声科另有2台A50，1台EPIQ7C和2台EPIQ5的故障也需要解决；3.保修期内共可更换五把探头，更换的探头必须为原厂检测合格的原装探头；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银行账号：102861560083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代理服务费收费标准：代理服务费以三年合计中标金额为基数，参照《国家计委关于印发&lt;招标代理服务收费管理暂行办法&gt;的通知》（计价格[2002]1980号）规定标准按标段收取。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符合国家、行业现行的设计、安全、质量等相关标准规范要求，与采购文件、投标（响应）文件和承诺相一致。</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飞利浦超声维保，服务期：3年（每年考核合格后续签）。预算金额：51万元/年。保修内容：1. 超声科1台EPIQ7C，1台A70，2台A50一年期全保；2. 保修期内，超声科另有2台A50，1台EPIQ7C和2台EPIQ5的故障也需要解决；3.保修期内共可更换五把探头，更换的探头必须为原厂检测合格的原装探头；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飞利浦超声维保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标的名称：飞利浦超声维保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供应商具备</w:t>
            </w:r>
            <w:r>
              <w:rPr>
                <w:rFonts w:ascii="仿宋_GB2312" w:hAnsi="仿宋_GB2312" w:cs="仿宋_GB2312" w:eastAsia="仿宋_GB2312"/>
                <w:sz w:val="21"/>
              </w:rPr>
              <w:t>800</w:t>
            </w:r>
            <w:r>
              <w:rPr>
                <w:rFonts w:ascii="仿宋_GB2312" w:hAnsi="仿宋_GB2312" w:cs="仿宋_GB2312" w:eastAsia="仿宋_GB2312"/>
                <w:sz w:val="21"/>
              </w:rPr>
              <w:t>及</w:t>
            </w:r>
            <w:r>
              <w:rPr>
                <w:rFonts w:ascii="仿宋_GB2312" w:hAnsi="仿宋_GB2312" w:cs="仿宋_GB2312" w:eastAsia="仿宋_GB2312"/>
                <w:sz w:val="21"/>
              </w:rPr>
              <w:t>400</w:t>
            </w:r>
            <w:r>
              <w:rPr>
                <w:rFonts w:ascii="仿宋_GB2312" w:hAnsi="仿宋_GB2312" w:cs="仿宋_GB2312" w:eastAsia="仿宋_GB2312"/>
                <w:sz w:val="21"/>
              </w:rPr>
              <w:t>客户服务专线电话，每年</w:t>
            </w:r>
            <w:r>
              <w:rPr>
                <w:rFonts w:ascii="仿宋_GB2312" w:hAnsi="仿宋_GB2312" w:cs="仿宋_GB2312" w:eastAsia="仿宋_GB2312"/>
                <w:sz w:val="21"/>
              </w:rPr>
              <w:t>365</w:t>
            </w:r>
            <w:r>
              <w:rPr>
                <w:rFonts w:ascii="仿宋_GB2312" w:hAnsi="仿宋_GB2312" w:cs="仿宋_GB2312" w:eastAsia="仿宋_GB2312"/>
                <w:sz w:val="21"/>
              </w:rPr>
              <w:t>天开通，全天</w:t>
            </w:r>
            <w:r>
              <w:rPr>
                <w:rFonts w:ascii="仿宋_GB2312" w:hAnsi="仿宋_GB2312" w:cs="仿宋_GB2312" w:eastAsia="仿宋_GB2312"/>
                <w:sz w:val="21"/>
              </w:rPr>
              <w:t>24</w:t>
            </w:r>
            <w:r>
              <w:rPr>
                <w:rFonts w:ascii="仿宋_GB2312" w:hAnsi="仿宋_GB2312" w:cs="仿宋_GB2312" w:eastAsia="仿宋_GB2312"/>
                <w:sz w:val="21"/>
              </w:rPr>
              <w:t>小时服务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供应商通过</w:t>
            </w:r>
            <w:r>
              <w:rPr>
                <w:rFonts w:ascii="仿宋_GB2312" w:hAnsi="仿宋_GB2312" w:cs="仿宋_GB2312" w:eastAsia="仿宋_GB2312"/>
                <w:sz w:val="21"/>
              </w:rPr>
              <w:t>ISO9001</w:t>
            </w:r>
            <w:r>
              <w:rPr>
                <w:rFonts w:ascii="仿宋_GB2312" w:hAnsi="仿宋_GB2312" w:cs="仿宋_GB2312" w:eastAsia="仿宋_GB2312"/>
                <w:sz w:val="21"/>
              </w:rPr>
              <w:t>和医疗行业的</w:t>
            </w:r>
            <w:r>
              <w:rPr>
                <w:rFonts w:ascii="仿宋_GB2312" w:hAnsi="仿宋_GB2312" w:cs="仿宋_GB2312" w:eastAsia="仿宋_GB2312"/>
                <w:sz w:val="21"/>
              </w:rPr>
              <w:t>ISO13485</w:t>
            </w:r>
            <w:r>
              <w:rPr>
                <w:rFonts w:ascii="仿宋_GB2312" w:hAnsi="仿宋_GB2312" w:cs="仿宋_GB2312" w:eastAsia="仿宋_GB2312"/>
                <w:sz w:val="21"/>
              </w:rPr>
              <w:t>质量管理体系认证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响应时间要求：供应商接获报修电话后提供突发性问题的解决措施及特殊紧急的合理化处理措施；电话响应时间须小于</w:t>
            </w:r>
            <w:r>
              <w:rPr>
                <w:rFonts w:ascii="仿宋_GB2312" w:hAnsi="仿宋_GB2312" w:cs="仿宋_GB2312" w:eastAsia="仿宋_GB2312"/>
                <w:sz w:val="21"/>
              </w:rPr>
              <w:t>1</w:t>
            </w:r>
            <w:r>
              <w:rPr>
                <w:rFonts w:ascii="仿宋_GB2312" w:hAnsi="仿宋_GB2312" w:cs="仿宋_GB2312" w:eastAsia="仿宋_GB2312"/>
                <w:sz w:val="21"/>
              </w:rPr>
              <w:t>小时，到达现场时间小于</w:t>
            </w:r>
            <w:r>
              <w:rPr>
                <w:rFonts w:ascii="仿宋_GB2312" w:hAnsi="仿宋_GB2312" w:cs="仿宋_GB2312" w:eastAsia="仿宋_GB2312"/>
                <w:sz w:val="21"/>
              </w:rPr>
              <w:t>24</w:t>
            </w:r>
            <w:r>
              <w:rPr>
                <w:rFonts w:ascii="仿宋_GB2312" w:hAnsi="仿宋_GB2312" w:cs="仿宋_GB2312" w:eastAsia="仿宋_GB2312"/>
                <w:sz w:val="21"/>
              </w:rPr>
              <w:t>小时，不限次紧急叫修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供应商在省内设有≥</w:t>
            </w:r>
            <w:r>
              <w:rPr>
                <w:rFonts w:ascii="仿宋_GB2312" w:hAnsi="仿宋_GB2312" w:cs="仿宋_GB2312" w:eastAsia="仿宋_GB2312"/>
                <w:sz w:val="21"/>
              </w:rPr>
              <w:t>3</w:t>
            </w:r>
            <w:r>
              <w:rPr>
                <w:rFonts w:ascii="仿宋_GB2312" w:hAnsi="仿宋_GB2312" w:cs="仿宋_GB2312" w:eastAsia="仿宋_GB2312"/>
                <w:sz w:val="21"/>
              </w:rPr>
              <w:t>名稳定的常驻服务人员，人员具有考核合格的、在有效期内的原厂服务资质证。</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有专职的应用培训专家，能以现场和远程形式，提供临床应用、图像处理和相应业务拓展的专业支持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所更换备件须为原厂检测合格的原装备件</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所更换探头须为原厂检测合格的原装探头；探头可提供海关报关单</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供应商能实时提供完整的原厂免费升级改进服务（</w:t>
            </w:r>
            <w:r>
              <w:rPr>
                <w:rFonts w:ascii="仿宋_GB2312" w:hAnsi="仿宋_GB2312" w:cs="仿宋_GB2312" w:eastAsia="仿宋_GB2312"/>
                <w:sz w:val="21"/>
              </w:rPr>
              <w:t>FCO</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供应商能合法获得完整有效的原厂高级故障诊断软件诊断维修钥匙</w:t>
            </w:r>
            <w:r>
              <w:rPr>
                <w:rFonts w:ascii="仿宋_GB2312" w:hAnsi="仿宋_GB2312" w:cs="仿宋_GB2312" w:eastAsia="仿宋_GB2312"/>
                <w:sz w:val="21"/>
              </w:rPr>
              <w:t xml:space="preserve"> (Service Key)</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rPr>
              <w:t>提供设备保养，使保修设备保持原厂</w:t>
            </w:r>
            <w:r>
              <w:rPr>
                <w:rFonts w:ascii="仿宋_GB2312" w:hAnsi="仿宋_GB2312" w:cs="仿宋_GB2312" w:eastAsia="仿宋_GB2312"/>
                <w:sz w:val="21"/>
              </w:rPr>
              <w:t>QC</w:t>
            </w:r>
            <w:r>
              <w:rPr>
                <w:rFonts w:ascii="仿宋_GB2312" w:hAnsi="仿宋_GB2312" w:cs="仿宋_GB2312" w:eastAsia="仿宋_GB2312"/>
                <w:sz w:val="21"/>
              </w:rPr>
              <w:t>标准或国家质量技监部门之标准，包含但不限于如下项目：设备清洁、性能测试及校准、必要的电气环境检查等</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供应商需在国内设有专业、充足的设备零备件仓库</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供应商能提供设备使用专业应用培训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3年（每年考核合格后续签）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合同签署后按年付款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详见合同范本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飞利浦超声维保，服务期：3年（每年考核合格后续签）。预算金额：51万元/年。保修内容：1. 超声科1台EPIQ7C，1台A70，2台A50一年期全保；2. 保修期内，超声科另有2台A50，1台EPIQ7C和2台EPIQ5的故障也需要解决；3.保修期内共可更换五把探头，更换的探头必须为原厂检测合格的原装探头；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 特定资格要求材料.docx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 定代表人或其委托代理人签字或加盖人名章</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响应保证金支付凭证或担保函.docx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满足商务要求、响应内容无漏项或数量与要求不符</w:t>
            </w:r>
          </w:p>
        </w:tc>
        <w:tc>
          <w:tcPr>
            <w:tcW w:type="dxa" w:w="1661"/>
          </w:tcPr>
          <w:p>
            <w:pPr>
              <w:pStyle w:val="null3"/>
            </w:pPr>
            <w:r>
              <w:rPr>
                <w:rFonts w:ascii="仿宋_GB2312" w:hAnsi="仿宋_GB2312" w:cs="仿宋_GB2312" w:eastAsia="仿宋_GB2312"/>
              </w:rPr>
              <w:t>投标分项报价表.docx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投标分项报价表.docx 标的清单 报价表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技术参数与性能指标：完全响应或优于采购要求得40分，1项不满足扣4分，扣完为止。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服务要求响应偏离表及相关证明资料.docx</w:t>
            </w:r>
          </w:p>
        </w:tc>
      </w:tr>
      <w:tr>
        <w:tc>
          <w:tcPr>
            <w:tcW w:type="dxa" w:w="831"/>
            <w:vMerge/>
          </w:tcPr>
          <w:p/>
        </w:tc>
        <w:tc>
          <w:tcPr>
            <w:tcW w:type="dxa" w:w="1661"/>
          </w:tcPr>
          <w:p>
            <w:pPr>
              <w:pStyle w:val="null3"/>
            </w:pPr>
            <w:r>
              <w:rPr>
                <w:rFonts w:ascii="仿宋_GB2312" w:hAnsi="仿宋_GB2312" w:cs="仿宋_GB2312" w:eastAsia="仿宋_GB2312"/>
              </w:rPr>
              <w:t>1：保养、维 护计划方案（ 10 分 ）</w:t>
            </w:r>
          </w:p>
        </w:tc>
        <w:tc>
          <w:tcPr>
            <w:tcW w:type="dxa" w:w="2492"/>
          </w:tcPr>
          <w:p>
            <w:pPr>
              <w:pStyle w:val="null3"/>
            </w:pPr>
            <w:r>
              <w:rPr>
                <w:rFonts w:ascii="仿宋_GB2312" w:hAnsi="仿宋_GB2312" w:cs="仿宋_GB2312" w:eastAsia="仿宋_GB2312"/>
              </w:rPr>
              <w:t>供应商对本项目提供的保养、维护计划方案： ①内容完整、可实施、且有针对性得10分； ②内容完整、可实施得7分； ③方案基本完整得4分；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2：故 障紧急 应急预 案（5 分）</w:t>
            </w:r>
          </w:p>
        </w:tc>
        <w:tc>
          <w:tcPr>
            <w:tcW w:type="dxa" w:w="2492"/>
          </w:tcPr>
          <w:p>
            <w:pPr>
              <w:pStyle w:val="null3"/>
            </w:pPr>
            <w:r>
              <w:rPr>
                <w:rFonts w:ascii="仿宋_GB2312" w:hAnsi="仿宋_GB2312" w:cs="仿宋_GB2312" w:eastAsia="仿宋_GB2312"/>
              </w:rPr>
              <w:t>供应商对设备可能出现的突发事件问题及重大故障，有具体可行的应急预案措施和解决方案：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3：服 务质量 保证措 施（5 分）</w:t>
            </w:r>
          </w:p>
        </w:tc>
        <w:tc>
          <w:tcPr>
            <w:tcW w:type="dxa" w:w="2492"/>
          </w:tcPr>
          <w:p>
            <w:pPr>
              <w:pStyle w:val="null3"/>
            </w:pPr>
            <w:r>
              <w:rPr>
                <w:rFonts w:ascii="仿宋_GB2312" w:hAnsi="仿宋_GB2312" w:cs="仿宋_GB2312" w:eastAsia="仿宋_GB2312"/>
              </w:rPr>
              <w:t>供应商对本项目维保服务提供切实可行的服务质量保证方案措施：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4：零 配件兼 容可靠 性（5 分）</w:t>
            </w:r>
          </w:p>
        </w:tc>
        <w:tc>
          <w:tcPr>
            <w:tcW w:type="dxa" w:w="2492"/>
          </w:tcPr>
          <w:p>
            <w:pPr>
              <w:pStyle w:val="null3"/>
            </w:pPr>
            <w:r>
              <w:rPr>
                <w:rFonts w:ascii="仿宋_GB2312" w:hAnsi="仿宋_GB2312" w:cs="仿宋_GB2312" w:eastAsia="仿宋_GB2312"/>
              </w:rPr>
              <w:t>供应商维保服务过程中提供的所有的部件及备品备件均应符合行业标准且能够与原设备配套兼容，具备合法、稳定的备件来源渠道以确保设备维修的及时性和可靠性： ①部件及备品备件全面，供应充足，且证明材料完整、性详细得5分； ②部件及备品备件完善，具有证明材料得3分； ③部件及备品备件基本满足维保要求，得1分；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5：人 员配备 方案（ 5 分）</w:t>
            </w:r>
          </w:p>
        </w:tc>
        <w:tc>
          <w:tcPr>
            <w:tcW w:type="dxa" w:w="2492"/>
          </w:tcPr>
          <w:p>
            <w:pPr>
              <w:pStyle w:val="null3"/>
            </w:pPr>
            <w:r>
              <w:rPr>
                <w:rFonts w:ascii="仿宋_GB2312" w:hAnsi="仿宋_GB2312" w:cs="仿宋_GB2312" w:eastAsia="仿宋_GB2312"/>
              </w:rPr>
              <w:t>供应商有针对本项目的专业服务团队： ①人员配备完善、团队组织结构合理、经验丰富得5分； ②人员配备合理，有一定经验得3分； ③人员配备基本满足项目需求得1分；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6：服 务承诺 （5 分 ）</w:t>
            </w:r>
          </w:p>
        </w:tc>
        <w:tc>
          <w:tcPr>
            <w:tcW w:type="dxa" w:w="2492"/>
          </w:tcPr>
          <w:p>
            <w:pPr>
              <w:pStyle w:val="null3"/>
            </w:pPr>
            <w:r>
              <w:rPr>
                <w:rFonts w:ascii="仿宋_GB2312" w:hAnsi="仿宋_GB2312" w:cs="仿宋_GB2312" w:eastAsia="仿宋_GB2312"/>
              </w:rPr>
              <w:t>供应商根据出现故障响应时间、人员到场时间、故障恢复时效及后续服务，开机率保证等内容： ①内容完整、可实施、且有针对性得5分； ②内容完整、可实施得3分；③方案基本完整得1分；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7：增 值服务 （5 分 ）</w:t>
            </w:r>
          </w:p>
        </w:tc>
        <w:tc>
          <w:tcPr>
            <w:tcW w:type="dxa" w:w="2492"/>
          </w:tcPr>
          <w:p>
            <w:pPr>
              <w:pStyle w:val="null3"/>
            </w:pPr>
            <w:r>
              <w:rPr>
                <w:rFonts w:ascii="仿宋_GB2312" w:hAnsi="仿宋_GB2312" w:cs="仿宋_GB2312" w:eastAsia="仿宋_GB2312"/>
              </w:rPr>
              <w:t>供应商根据项目需求提供的增值服务： ①内容完整、可实施、且有针对性得5分； ② 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 绩</w:t>
            </w:r>
          </w:p>
        </w:tc>
        <w:tc>
          <w:tcPr>
            <w:tcW w:type="dxa" w:w="2492"/>
          </w:tcPr>
          <w:p>
            <w:pPr>
              <w:pStyle w:val="null3"/>
            </w:pPr>
            <w:r>
              <w:rPr>
                <w:rFonts w:ascii="仿宋_GB2312" w:hAnsi="仿宋_GB2312" w:cs="仿宋_GB2312" w:eastAsia="仿宋_GB2312"/>
              </w:rPr>
              <w:t>供应商2021年1月1日至投标截止之日（以合同签订时间为准）承担过本次维保产品的维保业绩，每提供一份得2.5分，最高得10分。提供合同复印件，未提供不得分。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满足采购文件要求且最终响应报价最低的报价为评审基准价，其价格分为满分。其他供应商的价格分统一按照下列公式计算：响应报价得分=（评标基准价/最终响应报价）×价格分值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详见附件：特定资格要求材料.docx</w:t>
      </w:r>
    </w:p>
    <w:p>
      <w:pPr>
        <w:pStyle w:val="null3"/>
        <w:ind w:firstLine="960"/>
      </w:pPr>
      <w:r>
        <w:rPr>
          <w:rFonts w:ascii="仿宋_GB2312" w:hAnsi="仿宋_GB2312" w:cs="仿宋_GB2312" w:eastAsia="仿宋_GB2312"/>
        </w:rPr>
        <w:t>详见附件：响应保证金支付凭证或担保函.docx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详见附件：服务要求响应偏离表及相关证明资料.docx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