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09D8D">
      <w:pPr>
        <w:pStyle w:val="2"/>
        <w:adjustRightInd w:val="0"/>
        <w:snapToGrid w:val="0"/>
        <w:spacing w:before="120" w:beforeLines="50" w:after="120" w:afterLines="50"/>
        <w:ind w:firstLine="0"/>
        <w:jc w:val="center"/>
        <w:outlineLvl w:val="0"/>
        <w:rPr>
          <w:rFonts w:ascii="宋体" w:hAnsi="宋体" w:cs="宋体"/>
          <w:b/>
          <w:color w:val="000000"/>
          <w:kern w:val="44"/>
          <w:sz w:val="44"/>
          <w:szCs w:val="44"/>
        </w:rPr>
      </w:pPr>
      <w:r>
        <w:rPr>
          <w:rFonts w:hint="eastAsia" w:ascii="宋体" w:hAnsi="宋体" w:cs="宋体"/>
          <w:b/>
          <w:color w:val="000000"/>
          <w:kern w:val="44"/>
          <w:sz w:val="44"/>
          <w:szCs w:val="44"/>
        </w:rPr>
        <w:t>政府采购合同格式（参考）</w:t>
      </w:r>
    </w:p>
    <w:p w14:paraId="0B2394D4">
      <w:pPr>
        <w:pStyle w:val="10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合同编号： </w:t>
      </w:r>
    </w:p>
    <w:p w14:paraId="0FF68166">
      <w:pPr>
        <w:pStyle w:val="10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签订地点： </w:t>
      </w:r>
    </w:p>
    <w:p w14:paraId="1EDECBBB">
      <w:pPr>
        <w:pStyle w:val="10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签订时间:</w:t>
      </w:r>
    </w:p>
    <w:p w14:paraId="3EC5E9EE">
      <w:pPr>
        <w:pStyle w:val="10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采购人（甲方）：</w:t>
      </w:r>
    </w:p>
    <w:p w14:paraId="64484ACA">
      <w:pPr>
        <w:pStyle w:val="10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供应商（乙方）：</w:t>
      </w:r>
    </w:p>
    <w:p w14:paraId="1AE84155">
      <w:pPr>
        <w:pStyle w:val="10"/>
        <w:spacing w:before="120" w:beforeLines="50"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根据《中华人民共和国政府采购法》及实施条例、《中华人民共和国合同法》和甲方</w:t>
      </w:r>
      <w:r>
        <w:rPr>
          <w:rFonts w:hint="eastAsia" w:ascii="宋体" w:hAnsi="宋体"/>
          <w:color w:val="000000"/>
          <w:u w:val="single"/>
        </w:rPr>
        <w:t xml:space="preserve">                   </w:t>
      </w:r>
      <w:r>
        <w:rPr>
          <w:rFonts w:hint="eastAsia" w:ascii="宋体" w:hAnsi="宋体"/>
          <w:color w:val="000000"/>
        </w:rPr>
        <w:t>（采购项目</w:t>
      </w:r>
      <w:r>
        <w:rPr>
          <w:rFonts w:hint="eastAsia" w:ascii="宋体" w:hAnsi="宋体"/>
          <w:color w:val="000000"/>
          <w:lang w:val="en-US" w:eastAsia="zh-CN"/>
        </w:rPr>
        <w:t>名称</w:t>
      </w:r>
      <w:r>
        <w:rPr>
          <w:rFonts w:hint="eastAsia" w:ascii="宋体" w:hAnsi="宋体"/>
          <w:color w:val="000000"/>
        </w:rPr>
        <w:t>：</w:t>
      </w:r>
      <w:r>
        <w:rPr>
          <w:rFonts w:hint="eastAsia" w:ascii="宋体" w:hAnsi="宋体"/>
          <w:color w:val="000000"/>
          <w:u w:val="single"/>
          <w:lang w:val="en-US" w:eastAsia="zh-CN"/>
        </w:rPr>
        <w:t xml:space="preserve">              ）</w:t>
      </w:r>
      <w:r>
        <w:rPr>
          <w:rFonts w:hint="eastAsia" w:ascii="宋体" w:hAnsi="宋体"/>
          <w:color w:val="000000"/>
        </w:rPr>
        <w:t>（采购项目编号：</w:t>
      </w:r>
      <w:r>
        <w:rPr>
          <w:rFonts w:hint="eastAsia" w:ascii="宋体" w:hAnsi="宋体"/>
          <w:color w:val="000000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000000"/>
          <w:u w:val="none"/>
          <w:lang w:val="en-US" w:eastAsia="zh-CN"/>
        </w:rPr>
        <w:t xml:space="preserve"> ）</w:t>
      </w:r>
      <w:r>
        <w:rPr>
          <w:rFonts w:hint="eastAsia" w:ascii="宋体" w:hAnsi="宋体"/>
          <w:color w:val="000000"/>
        </w:rPr>
        <w:t>的竞争性磋商文件、竞争性磋商响应文件等有关规定，为确保甲方采购项目的顺利实施，甲、乙双方在平等自愿原则下签订本合同，并共同遵守如下条款：</w:t>
      </w:r>
    </w:p>
    <w:p w14:paraId="76045FA6">
      <w:pPr>
        <w:pStyle w:val="10"/>
        <w:numPr>
          <w:ilvl w:val="0"/>
          <w:numId w:val="1"/>
        </w:numPr>
        <w:spacing w:before="120" w:beforeLines="50" w:after="120" w:afterLines="50" w:line="360" w:lineRule="auto"/>
        <w:ind w:firstLine="482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合同标的（根据实际情况填写）</w:t>
      </w:r>
    </w:p>
    <w:tbl>
      <w:tblPr>
        <w:tblStyle w:val="8"/>
        <w:tblW w:w="9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853"/>
        <w:gridCol w:w="711"/>
        <w:gridCol w:w="5656"/>
      </w:tblGrid>
      <w:tr w14:paraId="50457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004" w:type="dxa"/>
            <w:noWrap w:val="0"/>
            <w:vAlign w:val="center"/>
          </w:tcPr>
          <w:p w14:paraId="15DADC01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服务名称</w:t>
            </w:r>
          </w:p>
        </w:tc>
        <w:tc>
          <w:tcPr>
            <w:tcW w:w="853" w:type="dxa"/>
            <w:noWrap w:val="0"/>
            <w:vAlign w:val="center"/>
          </w:tcPr>
          <w:p w14:paraId="4B8176AB">
            <w:pPr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数量</w:t>
            </w:r>
          </w:p>
        </w:tc>
        <w:tc>
          <w:tcPr>
            <w:tcW w:w="711" w:type="dxa"/>
            <w:noWrap w:val="0"/>
            <w:vAlign w:val="center"/>
          </w:tcPr>
          <w:p w14:paraId="5A6541E1">
            <w:pPr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单位</w:t>
            </w:r>
          </w:p>
        </w:tc>
        <w:tc>
          <w:tcPr>
            <w:tcW w:w="5656" w:type="dxa"/>
            <w:noWrap w:val="0"/>
            <w:vAlign w:val="center"/>
          </w:tcPr>
          <w:p w14:paraId="40D1E32A">
            <w:pPr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具体服务承诺(包含但不限于服务内容、范围和基本要求)</w:t>
            </w:r>
          </w:p>
        </w:tc>
      </w:tr>
      <w:tr w14:paraId="4D9E2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004" w:type="dxa"/>
            <w:noWrap w:val="0"/>
            <w:vAlign w:val="center"/>
          </w:tcPr>
          <w:p w14:paraId="5B500B9E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FBC8867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1" w:type="dxa"/>
            <w:noWrap w:val="0"/>
            <w:vAlign w:val="center"/>
          </w:tcPr>
          <w:p w14:paraId="247B610F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项</w:t>
            </w:r>
          </w:p>
        </w:tc>
        <w:tc>
          <w:tcPr>
            <w:tcW w:w="5656" w:type="dxa"/>
            <w:noWrap w:val="0"/>
            <w:vAlign w:val="center"/>
          </w:tcPr>
          <w:p w14:paraId="690A4E48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14:paraId="4C582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04" w:type="dxa"/>
            <w:noWrap w:val="0"/>
            <w:vAlign w:val="center"/>
          </w:tcPr>
          <w:p w14:paraId="62B8B438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…</w:t>
            </w:r>
          </w:p>
        </w:tc>
        <w:tc>
          <w:tcPr>
            <w:tcW w:w="853" w:type="dxa"/>
            <w:noWrap w:val="0"/>
            <w:vAlign w:val="center"/>
          </w:tcPr>
          <w:p w14:paraId="5C67302C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11" w:type="dxa"/>
            <w:noWrap w:val="0"/>
            <w:vAlign w:val="center"/>
          </w:tcPr>
          <w:p w14:paraId="131B5F00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656" w:type="dxa"/>
            <w:noWrap w:val="0"/>
            <w:vAlign w:val="center"/>
          </w:tcPr>
          <w:p w14:paraId="2406FFEA">
            <w:pPr>
              <w:adjustRightInd w:val="0"/>
              <w:snapToGrid w:val="0"/>
              <w:spacing w:line="360" w:lineRule="auto"/>
              <w:ind w:firstLine="440" w:firstLineChars="200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 w14:paraId="3E6FC2EA">
      <w:pPr>
        <w:pStyle w:val="10"/>
        <w:spacing w:before="120" w:beforeLines="50" w:after="120" w:afterLines="50" w:line="360" w:lineRule="auto"/>
        <w:ind w:firstLine="0" w:firstLineChars="0"/>
        <w:rPr>
          <w:rFonts w:ascii="宋体" w:hAnsi="宋体"/>
          <w:b/>
          <w:color w:val="000000"/>
        </w:rPr>
      </w:pPr>
    </w:p>
    <w:p w14:paraId="7DB0439A">
      <w:pPr>
        <w:pStyle w:val="10"/>
        <w:spacing w:before="120" w:beforeLines="50" w:after="120" w:afterLines="50" w:line="360" w:lineRule="auto"/>
        <w:ind w:firstLine="482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第二条 合同价款</w:t>
      </w:r>
    </w:p>
    <w:p w14:paraId="0D79F996">
      <w:pPr>
        <w:pStyle w:val="10"/>
        <w:spacing w:line="360" w:lineRule="auto"/>
        <w:ind w:left="141" w:leftChars="67" w:firstLine="360" w:firstLineChars="150"/>
        <w:rPr>
          <w:rFonts w:ascii="宋体" w:hAnsi="宋体"/>
          <w:color w:val="000000"/>
          <w:highlight w:val="yellow"/>
        </w:rPr>
      </w:pPr>
      <w:r>
        <w:rPr>
          <w:rFonts w:hint="eastAsia" w:ascii="宋体" w:hAnsi="宋体"/>
          <w:color w:val="000000"/>
        </w:rPr>
        <w:t>1、合同总价为人民币大写：</w:t>
      </w:r>
      <w:r>
        <w:rPr>
          <w:rFonts w:hint="eastAsia" w:ascii="宋体" w:hAnsi="宋体"/>
          <w:color w:val="000000"/>
          <w:u w:val="single"/>
        </w:rPr>
        <w:t xml:space="preserve">                  </w:t>
      </w:r>
      <w:r>
        <w:rPr>
          <w:rFonts w:hint="eastAsia" w:ascii="宋体" w:hAnsi="宋体"/>
          <w:color w:val="000000"/>
        </w:rPr>
        <w:t>， ￥</w:t>
      </w:r>
      <w:r>
        <w:rPr>
          <w:rFonts w:hint="eastAsia" w:ascii="宋体" w:hAnsi="宋体"/>
          <w:color w:val="000000"/>
          <w:u w:val="single"/>
        </w:rPr>
        <w:t xml:space="preserve">               </w:t>
      </w:r>
      <w:r>
        <w:rPr>
          <w:rFonts w:hint="eastAsia" w:ascii="宋体" w:hAnsi="宋体"/>
          <w:color w:val="000000"/>
        </w:rPr>
        <w:t>。</w:t>
      </w:r>
    </w:p>
    <w:p w14:paraId="5E059342">
      <w:pPr>
        <w:pStyle w:val="10"/>
        <w:spacing w:line="360" w:lineRule="auto"/>
        <w:ind w:left="141" w:leftChars="67" w:firstLine="360" w:firstLineChars="15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2、本合同执行期间合同总价不变，除发生本竞争性磋商文件第33.2条情况外，甲方无须另行向乙方支付本合同规定之外的其他任何费用。</w:t>
      </w:r>
    </w:p>
    <w:p w14:paraId="24FA4963">
      <w:pPr>
        <w:pStyle w:val="10"/>
        <w:spacing w:before="120" w:beforeLines="50" w:after="120" w:afterLines="50" w:line="360" w:lineRule="auto"/>
        <w:ind w:firstLine="482"/>
        <w:outlineLvl w:val="1"/>
        <w:rPr>
          <w:rFonts w:ascii="宋体" w:hAnsi="宋体"/>
          <w:b/>
          <w:color w:val="000000"/>
          <w:highlight w:val="none"/>
        </w:rPr>
      </w:pPr>
      <w:bookmarkStart w:id="0" w:name="_Toc11971"/>
      <w:r>
        <w:rPr>
          <w:rFonts w:hint="eastAsia" w:ascii="宋体" w:hAnsi="宋体"/>
          <w:b/>
          <w:color w:val="000000"/>
          <w:highlight w:val="none"/>
        </w:rPr>
        <w:t>第三条 付款方式</w:t>
      </w:r>
      <w:bookmarkEnd w:id="0"/>
    </w:p>
    <w:p w14:paraId="00F452B9">
      <w:pPr>
        <w:pStyle w:val="10"/>
        <w:spacing w:line="360" w:lineRule="auto"/>
        <w:ind w:left="141" w:leftChars="67" w:firstLine="360" w:firstLineChars="150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1、付款方式：</w:t>
      </w:r>
    </w:p>
    <w:p w14:paraId="6248E6D7">
      <w:pPr>
        <w:pStyle w:val="10"/>
        <w:spacing w:line="360" w:lineRule="auto"/>
        <w:ind w:firstLine="480"/>
        <w:rPr>
          <w:rFonts w:hint="default" w:ascii="宋体" w:hAnsi="宋体" w:eastAsia="宋体"/>
          <w:color w:val="000000"/>
          <w:u w:val="single"/>
          <w:lang w:val="en-US" w:eastAsia="zh-CN"/>
        </w:rPr>
      </w:pPr>
      <w:r>
        <w:rPr>
          <w:rFonts w:hint="eastAsia" w:ascii="宋体" w:hAnsi="宋体"/>
          <w:color w:val="000000"/>
          <w:u w:val="single"/>
          <w:lang w:val="en-US" w:eastAsia="zh-CN"/>
        </w:rPr>
        <w:t xml:space="preserve">                                                       </w:t>
      </w:r>
    </w:p>
    <w:p w14:paraId="780C6A1C">
      <w:pPr>
        <w:pStyle w:val="10"/>
        <w:spacing w:line="360" w:lineRule="auto"/>
        <w:ind w:firstLine="48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2、乙方须向甲方出具合法有效的完税发票，甲方进行支付结算。</w:t>
      </w:r>
    </w:p>
    <w:p w14:paraId="0789CC2B">
      <w:pPr>
        <w:pStyle w:val="10"/>
        <w:spacing w:line="360" w:lineRule="auto"/>
        <w:ind w:left="141" w:leftChars="67" w:firstLine="360" w:firstLineChars="15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3、结算方式：银行转账。</w:t>
      </w:r>
    </w:p>
    <w:p w14:paraId="0FDAD7CF">
      <w:pPr>
        <w:pStyle w:val="10"/>
        <w:spacing w:before="120" w:beforeLines="50" w:after="120" w:afterLines="50" w:line="360" w:lineRule="auto"/>
        <w:ind w:firstLine="482"/>
        <w:outlineLvl w:val="1"/>
        <w:rPr>
          <w:rFonts w:ascii="宋体" w:hAnsi="宋体"/>
          <w:b/>
          <w:color w:val="000000"/>
        </w:rPr>
      </w:pPr>
      <w:bookmarkStart w:id="1" w:name="_Toc8667"/>
      <w:r>
        <w:rPr>
          <w:rFonts w:hint="eastAsia" w:ascii="宋体" w:hAnsi="宋体"/>
          <w:b/>
          <w:bCs/>
          <w:color w:val="000000"/>
        </w:rPr>
        <w:t xml:space="preserve">第四条 </w:t>
      </w:r>
      <w:r>
        <w:rPr>
          <w:rFonts w:hint="eastAsia" w:ascii="宋体" w:hAnsi="宋体"/>
          <w:b/>
          <w:color w:val="000000"/>
        </w:rPr>
        <w:t>服务期限和地点</w:t>
      </w:r>
      <w:bookmarkEnd w:id="1"/>
    </w:p>
    <w:p w14:paraId="18A39ABB">
      <w:pPr>
        <w:pStyle w:val="10"/>
        <w:spacing w:before="120" w:beforeLines="50" w:after="120" w:afterLines="50" w:line="360" w:lineRule="auto"/>
        <w:ind w:firstLine="480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1、服务地点：甲方指定的地点</w:t>
      </w:r>
    </w:p>
    <w:p w14:paraId="1446DE5F">
      <w:pPr>
        <w:pStyle w:val="10"/>
        <w:spacing w:before="120" w:beforeLines="50" w:after="120" w:afterLines="50" w:line="360" w:lineRule="auto"/>
        <w:ind w:firstLine="480"/>
        <w:rPr>
          <w:rFonts w:hint="default" w:ascii="宋体" w:hAnsi="宋体" w:eastAsia="宋体"/>
          <w:bCs/>
          <w:color w:val="000000"/>
          <w:lang w:val="en-US" w:eastAsia="zh-CN"/>
        </w:rPr>
      </w:pPr>
      <w:r>
        <w:rPr>
          <w:rFonts w:hint="eastAsia" w:ascii="宋体" w:hAnsi="宋体"/>
          <w:bCs/>
          <w:color w:val="000000"/>
        </w:rPr>
        <w:t>2、服务期</w:t>
      </w:r>
      <w:r>
        <w:rPr>
          <w:rFonts w:hint="eastAsia" w:ascii="宋体" w:hAnsi="宋体"/>
          <w:bCs/>
          <w:color w:val="000000"/>
          <w:highlight w:val="none"/>
        </w:rPr>
        <w:t>限：</w:t>
      </w:r>
      <w:r>
        <w:rPr>
          <w:rFonts w:hint="eastAsia" w:ascii="宋体" w:hAnsi="宋体"/>
          <w:bCs/>
          <w:color w:val="000000"/>
          <w:highlight w:val="none"/>
          <w:u w:val="single"/>
        </w:rPr>
        <w:t>合同签订后</w:t>
      </w:r>
      <w:r>
        <w:rPr>
          <w:rFonts w:hint="eastAsia" w:ascii="宋体" w:hAnsi="宋体"/>
          <w:bCs/>
          <w:color w:val="000000"/>
          <w:highlight w:val="none"/>
          <w:u w:val="single"/>
          <w:lang w:val="en-US" w:eastAsia="zh-CN"/>
        </w:rPr>
        <w:t>130日历天</w:t>
      </w:r>
    </w:p>
    <w:p w14:paraId="77AB710D">
      <w:pPr>
        <w:pStyle w:val="10"/>
        <w:spacing w:before="120" w:beforeLines="50" w:after="120" w:afterLines="50" w:line="360" w:lineRule="auto"/>
        <w:ind w:firstLine="482"/>
        <w:outlineLvl w:val="1"/>
        <w:rPr>
          <w:rFonts w:ascii="宋体" w:hAnsi="宋体"/>
          <w:b/>
          <w:color w:val="000000"/>
        </w:rPr>
      </w:pPr>
      <w:bookmarkStart w:id="2" w:name="_Toc25388"/>
      <w:r>
        <w:rPr>
          <w:rFonts w:hint="eastAsia" w:ascii="宋体" w:hAnsi="宋体"/>
          <w:b/>
          <w:color w:val="000000"/>
          <w:kern w:val="0"/>
        </w:rPr>
        <w:t xml:space="preserve">第五条 </w:t>
      </w:r>
      <w:r>
        <w:rPr>
          <w:rFonts w:hint="eastAsia" w:ascii="宋体" w:hAnsi="宋体"/>
          <w:b/>
          <w:color w:val="000000"/>
        </w:rPr>
        <w:t>履约保证金</w:t>
      </w:r>
      <w:bookmarkEnd w:id="2"/>
    </w:p>
    <w:p w14:paraId="5787CFEC">
      <w:pPr>
        <w:pStyle w:val="10"/>
        <w:spacing w:before="120" w:beforeLines="50" w:after="120" w:afterLines="50" w:line="360" w:lineRule="auto"/>
        <w:ind w:firstLine="482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 xml:space="preserve"> </w:t>
      </w:r>
      <w:r>
        <w:rPr>
          <w:rFonts w:hint="eastAsia" w:ascii="宋体" w:hAnsi="宋体"/>
          <w:color w:val="000000"/>
          <w:kern w:val="0"/>
        </w:rPr>
        <w:t>本项目不要求履约保证金。</w:t>
      </w:r>
    </w:p>
    <w:p w14:paraId="6CBC1FD0">
      <w:pPr>
        <w:pStyle w:val="10"/>
        <w:spacing w:after="120" w:afterLines="50" w:line="360" w:lineRule="auto"/>
        <w:ind w:firstLine="482"/>
        <w:outlineLvl w:val="1"/>
        <w:rPr>
          <w:rFonts w:ascii="宋体" w:hAnsi="宋体"/>
          <w:color w:val="000000"/>
        </w:rPr>
      </w:pPr>
      <w:bookmarkStart w:id="3" w:name="_Toc26906"/>
      <w:r>
        <w:rPr>
          <w:rFonts w:hint="eastAsia" w:ascii="宋体" w:hAnsi="宋体"/>
          <w:b/>
          <w:color w:val="000000"/>
        </w:rPr>
        <w:t>第六条 违约责任</w:t>
      </w:r>
      <w:bookmarkEnd w:id="3"/>
    </w:p>
    <w:p w14:paraId="2DAEDEEA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1、依据《中华人民共和国合同法》、《中华人民共和国政府采购法》的相关条款和本合同约定的相关条款执行。</w:t>
      </w:r>
    </w:p>
    <w:p w14:paraId="69E81BE3">
      <w:pPr>
        <w:widowControl/>
        <w:spacing w:before="120" w:beforeLines="50" w:after="120" w:afterLines="50" w:line="360" w:lineRule="auto"/>
        <w:ind w:firstLine="482" w:firstLineChars="200"/>
        <w:jc w:val="left"/>
        <w:outlineLvl w:val="1"/>
        <w:rPr>
          <w:rFonts w:ascii="宋体" w:hAnsi="宋体" w:cs="宋体"/>
          <w:color w:val="000000"/>
          <w:kern w:val="0"/>
          <w:sz w:val="24"/>
        </w:rPr>
      </w:pPr>
      <w:bookmarkStart w:id="4" w:name="_Toc27808"/>
      <w:r>
        <w:rPr>
          <w:rFonts w:hint="eastAsia" w:ascii="宋体" w:hAnsi="宋体" w:cs="宋体"/>
          <w:b/>
          <w:color w:val="000000"/>
          <w:sz w:val="24"/>
        </w:rPr>
        <w:t xml:space="preserve">第七条 </w:t>
      </w:r>
      <w:r>
        <w:rPr>
          <w:rFonts w:hint="eastAsia" w:ascii="宋体" w:hAnsi="宋体" w:cs="宋体"/>
          <w:b/>
          <w:color w:val="000000"/>
          <w:kern w:val="0"/>
          <w:sz w:val="24"/>
        </w:rPr>
        <w:t>合同的变更和终止</w:t>
      </w:r>
      <w:bookmarkEnd w:id="4"/>
    </w:p>
    <w:p w14:paraId="28497253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1、除《中华人民共和国</w:t>
      </w:r>
      <w:r>
        <w:rPr>
          <w:rFonts w:hint="eastAsia" w:ascii="宋体" w:hAnsi="宋体" w:cs="宋体"/>
          <w:color w:val="000000"/>
          <w:sz w:val="24"/>
        </w:rPr>
        <w:t>政府采购法》第49条、第5</w:t>
      </w:r>
      <w:r>
        <w:rPr>
          <w:rFonts w:hint="eastAsia" w:ascii="宋体" w:hAnsi="宋体" w:cs="宋体"/>
          <w:color w:val="000000"/>
          <w:kern w:val="0"/>
          <w:sz w:val="24"/>
        </w:rPr>
        <w:t>0条第二款规定的情形外，本合同一经签订，甲乙双方不得擅自变更、中止或终止合同。</w:t>
      </w:r>
    </w:p>
    <w:p w14:paraId="0FF07519">
      <w:pPr>
        <w:widowControl/>
        <w:spacing w:before="120" w:beforeLines="50" w:after="120" w:afterLines="50" w:line="360" w:lineRule="auto"/>
        <w:ind w:firstLine="482" w:firstLineChars="200"/>
        <w:jc w:val="left"/>
        <w:outlineLvl w:val="1"/>
        <w:rPr>
          <w:rFonts w:ascii="宋体" w:hAnsi="宋体" w:cs="宋体"/>
          <w:color w:val="000000"/>
        </w:rPr>
      </w:pPr>
      <w:bookmarkStart w:id="5" w:name="_Toc2382"/>
      <w:r>
        <w:rPr>
          <w:rFonts w:hint="eastAsia" w:ascii="宋体" w:hAnsi="宋体" w:cs="宋体"/>
          <w:b/>
          <w:color w:val="000000"/>
          <w:kern w:val="0"/>
          <w:sz w:val="24"/>
        </w:rPr>
        <w:t>第八条 争议的解决</w:t>
      </w:r>
      <w:bookmarkEnd w:id="5"/>
    </w:p>
    <w:p w14:paraId="1D413419">
      <w:pPr>
        <w:pStyle w:val="10"/>
        <w:spacing w:line="360" w:lineRule="auto"/>
        <w:ind w:firstLine="480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1、因履行本合同引起的或与本合同有关的争议，甲、乙双方应首先通过友好协商解决，如果协商不成，则采取以下第</w:t>
      </w:r>
      <w:r>
        <w:rPr>
          <w:rFonts w:hint="eastAsia" w:ascii="宋体" w:hAnsi="宋体"/>
          <w:color w:val="000000"/>
          <w:kern w:val="0"/>
          <w:u w:val="single"/>
        </w:rPr>
        <w:t>2</w:t>
      </w:r>
      <w:r>
        <w:rPr>
          <w:rFonts w:hint="eastAsia" w:ascii="宋体" w:hAnsi="宋体"/>
          <w:color w:val="000000"/>
          <w:kern w:val="0"/>
        </w:rPr>
        <w:t>种方式解决争议：</w:t>
      </w:r>
    </w:p>
    <w:p w14:paraId="68666827">
      <w:pPr>
        <w:pStyle w:val="10"/>
        <w:spacing w:line="360" w:lineRule="auto"/>
        <w:ind w:firstLine="480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（1）向甲方所在地有管辖权的人民法院提起诉讼；</w:t>
      </w:r>
    </w:p>
    <w:p w14:paraId="5D9CA6EF">
      <w:pPr>
        <w:pStyle w:val="10"/>
        <w:spacing w:line="360" w:lineRule="auto"/>
        <w:ind w:firstLine="480"/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（2）向</w:t>
      </w:r>
      <w:r>
        <w:rPr>
          <w:rFonts w:hint="eastAsia" w:ascii="宋体" w:hAnsi="宋体"/>
          <w:color w:val="000000"/>
          <w:kern w:val="0"/>
          <w:u w:val="single"/>
        </w:rPr>
        <w:t xml:space="preserve"> </w:t>
      </w:r>
      <w:r>
        <w:rPr>
          <w:rFonts w:hint="eastAsia" w:ascii="宋体" w:hAnsi="宋体"/>
          <w:color w:val="000000"/>
          <w:kern w:val="0"/>
          <w:u w:val="single"/>
          <w:lang w:val="en-US" w:eastAsia="zh-CN"/>
        </w:rPr>
        <w:t>汉中市</w:t>
      </w:r>
      <w:r>
        <w:rPr>
          <w:rFonts w:hint="eastAsia" w:ascii="宋体" w:hAnsi="宋体"/>
          <w:color w:val="000000"/>
          <w:kern w:val="0"/>
          <w:u w:val="single"/>
        </w:rPr>
        <w:t xml:space="preserve"> </w:t>
      </w:r>
      <w:r>
        <w:rPr>
          <w:rFonts w:hint="eastAsia" w:ascii="宋体" w:hAnsi="宋体"/>
          <w:color w:val="000000"/>
          <w:kern w:val="0"/>
        </w:rPr>
        <w:t>仲裁委员会申请仲裁。</w:t>
      </w:r>
    </w:p>
    <w:p w14:paraId="753E1A30">
      <w:pPr>
        <w:pStyle w:val="10"/>
        <w:spacing w:line="360" w:lineRule="auto"/>
        <w:ind w:firstLine="480"/>
        <w:outlineLvl w:val="2"/>
        <w:rPr>
          <w:rFonts w:ascii="宋体" w:hAnsi="宋体"/>
          <w:b/>
          <w:color w:val="000000"/>
        </w:rPr>
      </w:pPr>
      <w:bookmarkStart w:id="6" w:name="_Toc18419"/>
      <w:r>
        <w:rPr>
          <w:rFonts w:hint="eastAsia" w:ascii="宋体" w:hAnsi="宋体"/>
          <w:color w:val="000000"/>
          <w:kern w:val="0"/>
        </w:rPr>
        <w:t>2、在仲裁期间，本合同应继续履行。</w:t>
      </w:r>
      <w:bookmarkEnd w:id="6"/>
    </w:p>
    <w:p w14:paraId="5C429027">
      <w:pPr>
        <w:snapToGrid w:val="0"/>
        <w:spacing w:before="120" w:beforeLines="50" w:after="120" w:afterLines="50" w:line="360" w:lineRule="auto"/>
        <w:ind w:firstLine="482" w:firstLineChars="200"/>
        <w:textAlignment w:val="baseline"/>
        <w:outlineLvl w:val="1"/>
        <w:rPr>
          <w:rFonts w:ascii="宋体" w:hAnsi="宋体" w:cs="宋体"/>
          <w:b/>
          <w:color w:val="000000"/>
          <w:sz w:val="24"/>
        </w:rPr>
      </w:pPr>
      <w:bookmarkStart w:id="7" w:name="_Toc28325"/>
      <w:r>
        <w:rPr>
          <w:rFonts w:hint="eastAsia" w:ascii="宋体" w:hAnsi="宋体" w:cs="宋体"/>
          <w:b/>
          <w:color w:val="000000"/>
          <w:sz w:val="24"/>
        </w:rPr>
        <w:t>第九条</w:t>
      </w:r>
      <w:r>
        <w:rPr>
          <w:rFonts w:hint="eastAsia" w:ascii="宋体" w:hAnsi="宋体" w:cs="宋体"/>
          <w:color w:val="000000"/>
          <w:sz w:val="24"/>
        </w:rPr>
        <w:t xml:space="preserve"> </w:t>
      </w:r>
      <w:r>
        <w:rPr>
          <w:rFonts w:hint="eastAsia" w:ascii="宋体" w:hAnsi="宋体" w:cs="宋体"/>
          <w:b/>
          <w:color w:val="000000"/>
          <w:sz w:val="24"/>
        </w:rPr>
        <w:t>合同文件</w:t>
      </w:r>
      <w:bookmarkEnd w:id="7"/>
    </w:p>
    <w:p w14:paraId="479F2F9B">
      <w:pPr>
        <w:snapToGrid w:val="0"/>
        <w:spacing w:before="120" w:beforeLines="50" w:after="120" w:afterLines="50" w:line="360" w:lineRule="auto"/>
        <w:ind w:firstLine="480" w:firstLineChars="200"/>
        <w:textAlignment w:val="baseline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3B62870C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1、本合同书</w:t>
      </w:r>
    </w:p>
    <w:p w14:paraId="29E628E4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2、成交通知书</w:t>
      </w:r>
      <w:r>
        <w:rPr>
          <w:rFonts w:hint="eastAsia" w:ascii="宋体" w:hAnsi="宋体" w:cs="宋体"/>
          <w:color w:val="000000"/>
          <w:sz w:val="24"/>
        </w:rPr>
        <w:tab/>
      </w:r>
    </w:p>
    <w:p w14:paraId="2F8FB9A3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3、协议</w:t>
      </w:r>
    </w:p>
    <w:p w14:paraId="4FFC3A78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4、竞争性磋商文件(含澄清文件)</w:t>
      </w:r>
    </w:p>
    <w:p w14:paraId="282128A8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5、竞争性磋商响应文件</w:t>
      </w:r>
    </w:p>
    <w:p w14:paraId="63B9FC99">
      <w:pPr>
        <w:snapToGrid w:val="0"/>
        <w:spacing w:before="120" w:beforeLines="50" w:after="120" w:afterLines="50" w:line="360" w:lineRule="auto"/>
        <w:ind w:firstLine="539"/>
        <w:outlineLvl w:val="1"/>
        <w:rPr>
          <w:rFonts w:ascii="宋体" w:hAnsi="宋体" w:cs="宋体"/>
          <w:b/>
          <w:color w:val="000000"/>
          <w:kern w:val="0"/>
          <w:sz w:val="24"/>
        </w:rPr>
      </w:pPr>
      <w:bookmarkStart w:id="8" w:name="_Toc12451"/>
      <w:r>
        <w:rPr>
          <w:rFonts w:hint="eastAsia" w:ascii="宋体" w:hAnsi="宋体" w:cs="宋体"/>
          <w:b/>
          <w:color w:val="000000"/>
          <w:sz w:val="24"/>
        </w:rPr>
        <w:t xml:space="preserve">第十条 </w:t>
      </w:r>
      <w:r>
        <w:rPr>
          <w:rFonts w:hint="eastAsia" w:ascii="宋体" w:hAnsi="宋体" w:cs="宋体"/>
          <w:b/>
          <w:color w:val="000000"/>
          <w:kern w:val="0"/>
          <w:sz w:val="24"/>
        </w:rPr>
        <w:t>合同生效及其他</w:t>
      </w:r>
      <w:bookmarkEnd w:id="8"/>
    </w:p>
    <w:p w14:paraId="6D97186D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</w:t>
      </w:r>
      <w:r>
        <w:rPr>
          <w:rFonts w:hint="eastAsia" w:ascii="宋体" w:hAnsi="宋体" w:cs="宋体"/>
          <w:color w:val="000000"/>
          <w:sz w:val="24"/>
        </w:rPr>
        <w:t>如有未尽事宜，由双方依法订立补充合同。</w:t>
      </w:r>
    </w:p>
    <w:p w14:paraId="63543EC4">
      <w:pPr>
        <w:snapToGrid w:val="0"/>
        <w:spacing w:line="360" w:lineRule="auto"/>
        <w:ind w:firstLine="539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2、本合同自签订之日起生效。</w:t>
      </w:r>
    </w:p>
    <w:p w14:paraId="66E5F29B">
      <w:pPr>
        <w:snapToGrid w:val="0"/>
        <w:spacing w:line="360" w:lineRule="auto"/>
        <w:ind w:firstLine="539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3、本合同一式___份，具有同等法律效力，甲乙双方各执____份，___份报送政府采购监督管理部门备案，一份采购代理机构存档。</w:t>
      </w:r>
    </w:p>
    <w:p w14:paraId="1FD7104B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甲方：   （盖章）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        乙方：   （盖章）</w:t>
      </w:r>
    </w:p>
    <w:p w14:paraId="0C27DCF4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                         法定代表人</w:t>
      </w:r>
    </w:p>
    <w:p w14:paraId="54992CAB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授权代表：                         授权代表：</w:t>
      </w:r>
    </w:p>
    <w:p w14:paraId="087457E0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地    址：                         地    址：</w:t>
      </w:r>
    </w:p>
    <w:p w14:paraId="4011FA22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开户银行：                         开户银行：</w:t>
      </w:r>
    </w:p>
    <w:p w14:paraId="07327C7D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账    号：                         账    号：</w:t>
      </w:r>
    </w:p>
    <w:p w14:paraId="00630B8B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电    话：                         电    话：</w:t>
      </w:r>
    </w:p>
    <w:p w14:paraId="4E4C8FD3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传    真：                         传    真：</w:t>
      </w:r>
    </w:p>
    <w:p w14:paraId="37FE10A0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签约日期：    年  月  日           签约日期：    年  月  日</w:t>
      </w:r>
    </w:p>
    <w:p w14:paraId="217FFB43">
      <w:pPr>
        <w:rPr>
          <w:rFonts w:ascii="宋体" w:hAnsi="宋体" w:cs="宋体"/>
          <w:b/>
          <w:color w:val="000000"/>
          <w:sz w:val="28"/>
          <w:szCs w:val="28"/>
        </w:rPr>
      </w:pPr>
    </w:p>
    <w:p w14:paraId="763C53D2"/>
    <w:p w14:paraId="21899D1B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721BD8"/>
    <w:multiLevelType w:val="singleLevel"/>
    <w:tmpl w:val="E9721BD8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4E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  <w:rPr>
      <w:szCs w:val="20"/>
    </w:rPr>
  </w:style>
  <w:style w:type="paragraph" w:styleId="3">
    <w:name w:val="Body Text First Indent"/>
    <w:basedOn w:val="4"/>
    <w:next w:val="5"/>
    <w:qFormat/>
    <w:uiPriority w:val="0"/>
    <w:pPr>
      <w:keepLines/>
      <w:widowControl/>
      <w:kinsoku/>
      <w:wordWrap w:val="0"/>
      <w:overflowPunct/>
      <w:topLinePunct/>
      <w:autoSpaceDE/>
      <w:autoSpaceDN/>
      <w:ind w:firstLine="420" w:firstLineChars="100"/>
    </w:pPr>
    <w:rPr>
      <w:rFonts w:eastAsia="宋体" w:cs="Times New Roman"/>
    </w:rPr>
  </w:style>
  <w:style w:type="paragraph" w:styleId="4">
    <w:name w:val="Body Text"/>
    <w:basedOn w:val="1"/>
    <w:next w:val="1"/>
    <w:qFormat/>
    <w:uiPriority w:val="99"/>
  </w:style>
  <w:style w:type="paragraph" w:styleId="5">
    <w:name w:val="Body Text First Indent 2"/>
    <w:basedOn w:val="6"/>
    <w:next w:val="7"/>
    <w:qFormat/>
    <w:uiPriority w:val="0"/>
    <w:pPr>
      <w:ind w:firstLine="420" w:firstLineChars="200"/>
    </w:pPr>
  </w:style>
  <w:style w:type="paragraph" w:styleId="6">
    <w:name w:val="Body Text Indent"/>
    <w:basedOn w:val="1"/>
    <w:qFormat/>
    <w:uiPriority w:val="99"/>
    <w:pPr>
      <w:ind w:firstLine="630"/>
    </w:pPr>
    <w:rPr>
      <w:sz w:val="32"/>
      <w:szCs w:val="20"/>
    </w:rPr>
  </w:style>
  <w:style w:type="paragraph" w:styleId="7">
    <w:name w:val="Block Text"/>
    <w:basedOn w:val="1"/>
    <w:qFormat/>
    <w:uiPriority w:val="0"/>
    <w:pPr>
      <w:tabs>
        <w:tab w:val="left" w:pos="773"/>
      </w:tabs>
      <w:ind w:left="592" w:leftChars="282" w:right="78"/>
    </w:pPr>
    <w:rPr>
      <w:rFonts w:ascii="宋体" w:hAnsi="宋体"/>
      <w:sz w:val="24"/>
      <w:szCs w:val="20"/>
    </w:rPr>
  </w:style>
  <w:style w:type="paragraph" w:customStyle="1" w:styleId="10">
    <w:name w:val="样式 首行缩进:  2 字符"/>
    <w:basedOn w:val="1"/>
    <w:qFormat/>
    <w:uiPriority w:val="99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2025-07-04T09:10:52Z</dcterms:created>
  <dc:creator>Admin</dc:creator>
  <cp:lastModifiedBy>大碗</cp:lastModifiedBy>
  <dcterms:modified xsi:type="dcterms:W3CDTF">2025-07-04T09:10:56Z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eyJoZGlkIjoiNDhlNTU2ZDM0ZWJmNmVkNGYwMmM5MTM3ZTkzMzA3NzAiLCJ1c2VySWQiOiI2MzQwMjU1NDcifQ==</vt:lpwstr>
  </property>
  <property fmtid="{D5CDD505-2E9C-101B-9397-08002B2CF9AE}" pid="4" name="ICV">
    <vt:lpwstr>AAD9ED6C631C42F984FCCE46210FD732_12</vt:lpwstr>
  </property>
</Properties>
</file>