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版本号：JXRZ-HC-2025-037.1B120250523001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汉中市2024年矿山、机械制造行业及职业病防治重点企业“三类人员”工伤预防能力提升培训项目(二次)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JXRZ-HC-2025-037.1B1</w:t>
      </w:r>
      <w:r>
        <w:br/>
      </w:r>
      <w:r>
        <w:br/>
      </w:r>
      <w:r>
        <w:br/>
      </w:r>
    </w:p>
    <w:p>
      <w:pPr>
        <w:pStyle w:val="null3"/>
        <w:jc w:val="center"/>
        <w:outlineLvl w:val="2"/>
      </w:pPr>
      <w:r>
        <w:rPr>
          <w:rFonts w:ascii="仿宋_GB2312" w:hAnsi="仿宋_GB2312" w:cs="仿宋_GB2312" w:eastAsia="仿宋_GB2312"/>
          <w:sz w:val="28"/>
          <w:b/>
        </w:rPr>
        <w:t>汉中市机关事业单位社会养老保险经办中心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汉中市机关事业单位社会养老保险经办中心</w:t>
      </w:r>
      <w:r>
        <w:rPr>
          <w:rFonts w:ascii="仿宋_GB2312" w:hAnsi="仿宋_GB2312" w:cs="仿宋_GB2312" w:eastAsia="仿宋_GB2312"/>
        </w:rPr>
        <w:t>委托，拟对</w:t>
      </w:r>
      <w:r>
        <w:rPr>
          <w:rFonts w:ascii="仿宋_GB2312" w:hAnsi="仿宋_GB2312" w:cs="仿宋_GB2312" w:eastAsia="仿宋_GB2312"/>
        </w:rPr>
        <w:t>汉中市2024年矿山、机械制造行业及职业病防治重点企业“三类人员”工伤预防能力提升培训项目(二次)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JXRZ-HC-2025-037.1B1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汉中市2024年矿山、机械制造行业及职业病防治重点企业“三类人员”工伤预防能力提升培训项目(二次)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安全第一、预防为主、综合治理”的安全生产方针，有效提升矿山、机械制造等行业重点企业的工伤预防能力，提升职业病预防能力，减少安全事故发生，汉中市机关事业单位社会养老保险经办中心拟采购1名供应商完成汉中市2024年矿山、机械制造行业及职业病防治重点企业“三类人员”工伤预防能力提升培训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采购包1（汉中市2024年矿山、机械制造行业及职业病防治重点企业“三类人员”工伤预防能力提升培训项目）：属于专门面向中小企业采购。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汉中市机关事业单位社会养老保险经办中心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汉台区人民路76号市人力资源中心市场二楼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0916-2118718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汉中市机关事业单位社会养老保险经办中心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汉中市机关事业单位社会养老保险经办中心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汉中市机关事业单位社会养老保险经办中心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安全第一、预防为主、综合治理”的安全生产方针，有效提升矿山、机械制造等行业重点企业的工伤预防能力，提升职业病预防能力，减少安全事故发生，汉中市机关事业单位社会养老保险经办中心拟采购1名供应商完成汉中市2024年矿山、机械制造行业及职业病防治重点企业“三类人员”工伤预防能力提升培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汉中市2024年矿山、机械制造行业及职业病防治重点企业“三类人员”工伤预防能力提升培训项目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标的名称：汉中市2024年矿山、机械制造行业及职业病防治重点企业“三类人员”工伤预防能力提升培训项目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1"/>
                <w:b/>
                <w:color w:val="000000"/>
              </w:rPr>
              <w:t>一、背景与目的</w:t>
            </w:r>
          </w:p>
          <w:p>
            <w:pPr>
              <w:pStyle w:val="null3"/>
              <w:ind w:firstLine="480"/>
              <w:jc w:val="both"/>
            </w:pPr>
            <w:r>
              <w:rPr>
                <w:rFonts w:ascii="仿宋_GB2312" w:hAnsi="仿宋_GB2312" w:cs="仿宋_GB2312" w:eastAsia="仿宋_GB2312"/>
                <w:sz w:val="21"/>
                <w:color w:val="000000"/>
              </w:rPr>
              <w:t>随着工业化进程的加快，矿山、机械制造等行业作为国民经济的重要支柱，其安全生产问题日益凸显。近年来，虽然各企业在安全生产管理方面取得了一定成效，但工伤事故仍时有发生，严重影响了企业的健康发展及员工的生命健康安全。为深入贯彻“安全第一、预防为主、综合治理”的安全生产方针，有效提升矿山、机械制造等行业重点企业的工伤预防能力，提升职业病预防能力，减少安全事故发生，特开展本轮培训。</w:t>
            </w:r>
          </w:p>
          <w:p>
            <w:pPr>
              <w:pStyle w:val="null3"/>
              <w:ind w:firstLine="562"/>
              <w:jc w:val="both"/>
            </w:pPr>
            <w:r>
              <w:rPr>
                <w:rFonts w:ascii="仿宋_GB2312" w:hAnsi="仿宋_GB2312" w:cs="仿宋_GB2312" w:eastAsia="仿宋_GB2312"/>
                <w:sz w:val="21"/>
                <w:b/>
                <w:color w:val="000000"/>
              </w:rPr>
              <w:t>二、培训目标</w:t>
            </w:r>
          </w:p>
          <w:p>
            <w:pPr>
              <w:pStyle w:val="null3"/>
              <w:ind w:firstLine="480"/>
              <w:jc w:val="both"/>
            </w:pPr>
            <w:r>
              <w:rPr>
                <w:rFonts w:ascii="仿宋_GB2312" w:hAnsi="仿宋_GB2312" w:cs="仿宋_GB2312" w:eastAsia="仿宋_GB2312"/>
                <w:sz w:val="21"/>
                <w:color w:val="000000"/>
              </w:rPr>
              <w:t>1. 增强安全意识：通过培训，使企业员工深刻理解安全生产的重要性，树立“人人讲安全、事事为安全、时时想安全、处处要安全”的意识。</w:t>
            </w:r>
          </w:p>
          <w:p>
            <w:pPr>
              <w:pStyle w:val="null3"/>
              <w:ind w:firstLine="480"/>
              <w:jc w:val="both"/>
            </w:pPr>
            <w:r>
              <w:rPr>
                <w:rFonts w:ascii="仿宋_GB2312" w:hAnsi="仿宋_GB2312" w:cs="仿宋_GB2312" w:eastAsia="仿宋_GB2312"/>
                <w:sz w:val="21"/>
                <w:color w:val="000000"/>
              </w:rPr>
              <w:t>2. 提升预防技能：针对矿山、机械制造行业特点，重点培训员工在作业过程中的危险源辨识、风险评估及防控措施等技能，提高自我保护和应急处理能力。</w:t>
            </w:r>
          </w:p>
          <w:p>
            <w:pPr>
              <w:pStyle w:val="null3"/>
              <w:ind w:firstLine="480"/>
              <w:jc w:val="both"/>
            </w:pPr>
            <w:r>
              <w:rPr>
                <w:rFonts w:ascii="仿宋_GB2312" w:hAnsi="仿宋_GB2312" w:cs="仿宋_GB2312" w:eastAsia="仿宋_GB2312"/>
                <w:sz w:val="21"/>
                <w:color w:val="000000"/>
              </w:rPr>
              <w:t>3. 完善管理体系：引导企业建立健全工伤预防管理体系，包括安全生产责任制、安全教育培训制度、隐患排查治理机制等，实现安全生产管理的系统化、规范化。</w:t>
            </w:r>
          </w:p>
          <w:p>
            <w:pPr>
              <w:pStyle w:val="null3"/>
              <w:ind w:firstLine="480"/>
              <w:jc w:val="both"/>
            </w:pPr>
            <w:r>
              <w:rPr>
                <w:rFonts w:ascii="仿宋_GB2312" w:hAnsi="仿宋_GB2312" w:cs="仿宋_GB2312" w:eastAsia="仿宋_GB2312"/>
                <w:sz w:val="21"/>
                <w:color w:val="000000"/>
              </w:rPr>
              <w:t>4. 降低事故率：通过培训，减少因人为因素导致的工伤事故，降低事故发生率，保障员工生命安全和企业稳定运营。</w:t>
            </w:r>
          </w:p>
          <w:p>
            <w:pPr>
              <w:pStyle w:val="null3"/>
              <w:ind w:firstLine="562"/>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、主要任务</w:t>
            </w:r>
          </w:p>
          <w:p>
            <w:pPr>
              <w:pStyle w:val="null3"/>
              <w:ind w:firstLine="482"/>
              <w:jc w:val="both"/>
            </w:pPr>
            <w:r>
              <w:rPr>
                <w:rFonts w:ascii="仿宋_GB2312" w:hAnsi="仿宋_GB2312" w:cs="仿宋_GB2312" w:eastAsia="仿宋_GB2312"/>
                <w:sz w:val="21"/>
                <w:b/>
                <w:color w:val="000000"/>
              </w:rPr>
              <w:t>(一)培训对象</w:t>
            </w:r>
          </w:p>
          <w:p>
            <w:pPr>
              <w:pStyle w:val="null3"/>
              <w:ind w:firstLine="480"/>
              <w:jc w:val="both"/>
            </w:pPr>
            <w:r>
              <w:rPr>
                <w:rFonts w:ascii="仿宋_GB2312" w:hAnsi="仿宋_GB2312" w:cs="仿宋_GB2312" w:eastAsia="仿宋_GB2312"/>
                <w:sz w:val="21"/>
                <w:color w:val="000000"/>
              </w:rPr>
              <w:t>我市矿山、机械制造等行业重点企业的安全生产与职业健康分管负责人、专职安全、职业健康管理人员和班组长(含车间主任、车队长，下同)以及其他纳入职业病危害专项治理又不涵盖在矿山、机械制造行业重点企业的用人单位职业健康分管负责人、职业健康管理人员(以下统称“三类人员”)作为培训重点。</w:t>
            </w:r>
          </w:p>
          <w:p>
            <w:pPr>
              <w:pStyle w:val="null3"/>
              <w:ind w:firstLine="482"/>
              <w:jc w:val="left"/>
            </w:pPr>
            <w:r>
              <w:rPr>
                <w:rFonts w:ascii="仿宋_GB2312" w:hAnsi="仿宋_GB2312" w:cs="仿宋_GB2312" w:eastAsia="仿宋_GB2312"/>
                <w:sz w:val="21"/>
                <w:b/>
                <w:color w:val="000000"/>
              </w:rPr>
              <w:t>(二)培训内容</w:t>
            </w:r>
          </w:p>
          <w:p>
            <w:pPr>
              <w:pStyle w:val="null3"/>
              <w:ind w:firstLine="480"/>
              <w:jc w:val="both"/>
            </w:pPr>
            <w:r>
              <w:rPr>
                <w:rFonts w:ascii="仿宋_GB2312" w:hAnsi="仿宋_GB2312" w:cs="仿宋_GB2312" w:eastAsia="仿宋_GB2312"/>
                <w:sz w:val="21"/>
                <w:color w:val="000000"/>
              </w:rPr>
              <w:t>1. 安全生产法律法规与政策解读：包括《安全生产法》、《职业病防治法》等相关法律法规，以及国家关于矿山、机械制造行业的安全生产政策要求。</w:t>
            </w:r>
          </w:p>
          <w:p>
            <w:pPr>
              <w:pStyle w:val="null3"/>
              <w:ind w:firstLine="480"/>
              <w:jc w:val="both"/>
            </w:pPr>
            <w:r>
              <w:rPr>
                <w:rFonts w:ascii="仿宋_GB2312" w:hAnsi="仿宋_GB2312" w:cs="仿宋_GB2312" w:eastAsia="仿宋_GB2312"/>
                <w:sz w:val="21"/>
                <w:color w:val="000000"/>
              </w:rPr>
              <w:t>2. 行业安全标准与规范：介绍并解读矿山、机械制造行业的安全生产标准、操作规程及作业指导书等，确保员工操作符合规范。</w:t>
            </w:r>
          </w:p>
          <w:p>
            <w:pPr>
              <w:pStyle w:val="null3"/>
              <w:ind w:firstLine="480"/>
              <w:jc w:val="both"/>
            </w:pPr>
            <w:r>
              <w:rPr>
                <w:rFonts w:ascii="仿宋_GB2312" w:hAnsi="仿宋_GB2312" w:cs="仿宋_GB2312" w:eastAsia="仿宋_GB2312"/>
                <w:sz w:val="21"/>
                <w:color w:val="000000"/>
              </w:rPr>
              <w:t>3. 危险源辨识与风险评估：教授员工如何识别作业环境中的危险源，进行风险评估，制定并实施有效的防控措施。</w:t>
            </w:r>
          </w:p>
          <w:p>
            <w:pPr>
              <w:pStyle w:val="null3"/>
              <w:ind w:firstLine="480"/>
              <w:jc w:val="both"/>
            </w:pPr>
            <w:r>
              <w:rPr>
                <w:rFonts w:ascii="仿宋_GB2312" w:hAnsi="仿宋_GB2312" w:cs="仿宋_GB2312" w:eastAsia="仿宋_GB2312"/>
                <w:sz w:val="21"/>
                <w:color w:val="000000"/>
              </w:rPr>
              <w:t>4. 应急管理与救援技能：培训员工掌握基本的应急救援知识和技能，包括心肺复苏、火灾逃生、急救包扎等，提高应急响应能力。</w:t>
            </w:r>
          </w:p>
          <w:p>
            <w:pPr>
              <w:pStyle w:val="null3"/>
              <w:ind w:firstLine="480"/>
              <w:jc w:val="both"/>
            </w:pPr>
            <w:r>
              <w:rPr>
                <w:rFonts w:ascii="仿宋_GB2312" w:hAnsi="仿宋_GB2312" w:cs="仿宋_GB2312" w:eastAsia="仿宋_GB2312"/>
                <w:sz w:val="21"/>
                <w:color w:val="000000"/>
              </w:rPr>
              <w:t>5. 心理健康与职业防护：关注员工心理健康，介绍职业病的预防知识，提供必要的职业防护措施，保障员工身心健康。</w:t>
            </w:r>
          </w:p>
          <w:p>
            <w:pPr>
              <w:pStyle w:val="null3"/>
              <w:ind w:firstLine="482"/>
              <w:jc w:val="both"/>
            </w:pPr>
            <w:r>
              <w:rPr>
                <w:rFonts w:ascii="仿宋_GB2312" w:hAnsi="仿宋_GB2312" w:cs="仿宋_GB2312" w:eastAsia="仿宋_GB2312"/>
                <w:sz w:val="21"/>
                <w:b/>
                <w:color w:val="000000"/>
              </w:rPr>
              <w:t>（三）培训方式</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采取线上学习与线下培训相结合的方式。线上学习一般以安全生产、职业健康和工伤保障法规标准以及工伤预防基础知识等通识性内容为主;线下培训一般以行业专业性岗位特殊性内容为主，包括实践操作和互动研讨等内容。安全生产与职业健康分管负责人线下培训原则上实行不超过40人的小班互动教学，专职安全、职业健康管理人员和班组长线下培训班一般不超过80人。培训按照大纲设置课目学习，结业实行闭卷考试方式评定成</w:t>
            </w:r>
            <w:r>
              <w:rPr>
                <w:rFonts w:ascii="仿宋_GB2312" w:hAnsi="仿宋_GB2312" w:cs="仿宋_GB2312" w:eastAsia="仿宋_GB2312"/>
                <w:sz w:val="21"/>
                <w:color w:val="000000"/>
              </w:rPr>
              <w:t>绩。鼓励线上培训结合工伤预防线上平台和安全生产等线上培训平台进行，参加培训并考试合格的，减免相应的安全生产、职业健康再培训或继续教育学时。线下培训时长原则上均不得少于总培训时长的60%，班组长实训类课程不少于总培训时长的25%。培训场地由供应商自行提供。</w:t>
            </w:r>
          </w:p>
          <w:p>
            <w:pPr>
              <w:pStyle w:val="null3"/>
              <w:ind w:firstLine="472"/>
              <w:jc w:val="left"/>
            </w:pPr>
            <w:r>
              <w:rPr>
                <w:rFonts w:ascii="仿宋_GB2312" w:hAnsi="仿宋_GB2312" w:cs="仿宋_GB2312" w:eastAsia="仿宋_GB2312"/>
                <w:sz w:val="21"/>
                <w:color w:val="000000"/>
              </w:rPr>
              <w:t>（2）供应商须为每位参训人员建立个人实名培训信息档案，并及时向采购人报告培训进度。</w:t>
            </w:r>
          </w:p>
          <w:p>
            <w:pPr>
              <w:pStyle w:val="null3"/>
              <w:ind w:firstLine="472"/>
              <w:jc w:val="left"/>
            </w:pPr>
            <w:r>
              <w:rPr>
                <w:rFonts w:ascii="仿宋_GB2312" w:hAnsi="仿宋_GB2312" w:cs="仿宋_GB2312" w:eastAsia="仿宋_GB2312"/>
                <w:sz w:val="21"/>
                <w:color w:val="000000"/>
              </w:rPr>
              <w:t>（3）供应商负责做好培训期间学员的安全管理工作。服务期内发生的所有安全责任及后果，由供应商自行承担。（供应商须针对本项提供承诺函并加盖公章，格式自拟）</w:t>
            </w:r>
          </w:p>
          <w:p>
            <w:pPr>
              <w:pStyle w:val="null3"/>
              <w:ind w:firstLine="472"/>
              <w:jc w:val="left"/>
            </w:pPr>
            <w:r>
              <w:rPr>
                <w:rFonts w:ascii="仿宋_GB2312" w:hAnsi="仿宋_GB2312" w:cs="仿宋_GB2312" w:eastAsia="仿宋_GB2312"/>
                <w:sz w:val="21"/>
                <w:color w:val="000000"/>
              </w:rPr>
              <w:t>（4）供应商根据釆购人提供的企业名单对接选中企业的培训人员。</w:t>
            </w:r>
          </w:p>
          <w:p>
            <w:pPr>
              <w:pStyle w:val="null3"/>
              <w:ind w:firstLine="472"/>
              <w:jc w:val="left"/>
            </w:pPr>
            <w:r>
              <w:rPr>
                <w:rFonts w:ascii="仿宋_GB2312" w:hAnsi="仿宋_GB2312" w:cs="仿宋_GB2312" w:eastAsia="仿宋_GB2312"/>
                <w:sz w:val="21"/>
                <w:color w:val="000000"/>
              </w:rPr>
              <w:t>（5）培训成绩由日常考勤和考试两部分组成，考试分为笔试和实操。笔试可以采用机考或者纸质试卷考试，实操可以采用实际操作、演练、角色扮演等方式。权重比例：采用百分制，日常考勤占20%，理论和实操考试各占40%（不涉及实操的，则理论占80%），满分100分，得分80分及以上为合格。釆购人有权不定期对培训过程及培训结果进行抽查，如抽查不合格的，釆购人有权单方面解除合同。</w:t>
            </w:r>
          </w:p>
          <w:p>
            <w:pPr>
              <w:pStyle w:val="null3"/>
              <w:ind w:firstLine="472"/>
              <w:jc w:val="left"/>
            </w:pPr>
            <w:r>
              <w:rPr>
                <w:rFonts w:ascii="仿宋_GB2312" w:hAnsi="仿宋_GB2312" w:cs="仿宋_GB2312" w:eastAsia="仿宋_GB2312"/>
                <w:sz w:val="21"/>
                <w:color w:val="000000"/>
              </w:rPr>
              <w:t>（6）线上培训要求</w:t>
            </w:r>
          </w:p>
          <w:p>
            <w:pPr>
              <w:pStyle w:val="null3"/>
              <w:ind w:firstLine="472"/>
              <w:jc w:val="left"/>
            </w:pPr>
            <w:r>
              <w:rPr>
                <w:rFonts w:ascii="仿宋_GB2312" w:hAnsi="仿宋_GB2312" w:cs="仿宋_GB2312" w:eastAsia="仿宋_GB2312"/>
                <w:sz w:val="21"/>
                <w:color w:val="000000"/>
              </w:rPr>
              <w:t>①有符合大纲要求的数字培训课程和满足实际需要的网络培训平台；</w:t>
            </w:r>
          </w:p>
          <w:p>
            <w:pPr>
              <w:pStyle w:val="null3"/>
              <w:ind w:firstLine="472"/>
              <w:jc w:val="left"/>
            </w:pPr>
            <w:r>
              <w:rPr>
                <w:rFonts w:ascii="仿宋_GB2312" w:hAnsi="仿宋_GB2312" w:cs="仿宋_GB2312" w:eastAsia="仿宋_GB2312"/>
                <w:sz w:val="21"/>
                <w:color w:val="000000"/>
              </w:rPr>
              <w:t>②支持学员实名制管理功能，支持人脸识别等防挂课、防代学功能；</w:t>
            </w:r>
          </w:p>
          <w:p>
            <w:pPr>
              <w:pStyle w:val="null3"/>
              <w:ind w:firstLine="472"/>
              <w:jc w:val="left"/>
            </w:pPr>
            <w:r>
              <w:rPr>
                <w:rFonts w:ascii="仿宋_GB2312" w:hAnsi="仿宋_GB2312" w:cs="仿宋_GB2312" w:eastAsia="仿宋_GB2312"/>
                <w:sz w:val="21"/>
                <w:color w:val="000000"/>
              </w:rPr>
              <w:t>③在线课程无知识产权争议，无违法违规内容；</w:t>
            </w:r>
          </w:p>
          <w:p>
            <w:pPr>
              <w:pStyle w:val="null3"/>
              <w:ind w:firstLine="482"/>
              <w:jc w:val="both"/>
            </w:pPr>
            <w:r>
              <w:rPr>
                <w:rFonts w:ascii="仿宋_GB2312" w:hAnsi="仿宋_GB2312" w:cs="仿宋_GB2312" w:eastAsia="仿宋_GB2312"/>
                <w:sz w:val="21"/>
                <w:b/>
                <w:color w:val="000000"/>
              </w:rPr>
              <w:t>（</w:t>
            </w:r>
            <w:r>
              <w:rPr>
                <w:rFonts w:ascii="仿宋_GB2312" w:hAnsi="仿宋_GB2312" w:cs="仿宋_GB2312" w:eastAsia="仿宋_GB2312"/>
                <w:sz w:val="21"/>
                <w:b/>
              </w:rPr>
              <w:t>四）培训人数及时长要求</w:t>
            </w:r>
          </w:p>
          <w:p>
            <w:pPr>
              <w:pStyle w:val="null3"/>
              <w:ind w:firstLine="480"/>
              <w:jc w:val="both"/>
            </w:pPr>
            <w:r>
              <w:rPr>
                <w:rFonts w:ascii="仿宋_GB2312" w:hAnsi="仿宋_GB2312" w:cs="仿宋_GB2312" w:eastAsia="仿宋_GB2312"/>
                <w:sz w:val="21"/>
              </w:rPr>
              <w:t>1.全市矿山企业安全生产分管负责人参训36人16学时，其中：线上培训4学时、线下培训12学时；专职安全管理人员参训93人16学时，其中：线上培训4学时、线下培训12学时；班组长（含车间主任）参训138人20学时，其中：线上培训8学时、线下培训12学时（含实操4学时）。</w:t>
            </w:r>
          </w:p>
          <w:p>
            <w:pPr>
              <w:pStyle w:val="null3"/>
              <w:ind w:firstLine="480"/>
              <w:jc w:val="both"/>
            </w:pPr>
            <w:r>
              <w:rPr>
                <w:rFonts w:ascii="仿宋_GB2312" w:hAnsi="仿宋_GB2312" w:cs="仿宋_GB2312" w:eastAsia="仿宋_GB2312"/>
                <w:sz w:val="21"/>
              </w:rPr>
              <w:t>2.全市机械制造重点企业安全生产和职业健康分管负责人参训121人24学时，其中：线上培训8学时、线下培训16学时；专职安全、职业健康管理人员参训180人24学时，其中：线上培训8学时、线下培训16学时；班组长（含车间主任、车队长）参训207人32学时，其中：线上培训8学时、线下培训24学时（含实操8学时）。</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全市职业病危害专项治理重点企业职业健康分管负责人参训148人16学时。其中：线上培训4学时、线下培训12学时；职业健康管理人员参训102人16学时，其中：线上培训4学时、线下培训12学时。</w:t>
            </w:r>
          </w:p>
          <w:p>
            <w:pPr>
              <w:pStyle w:val="null3"/>
              <w:ind w:left="435"/>
              <w:jc w:val="both"/>
            </w:pPr>
            <w:r>
              <w:rPr>
                <w:rFonts w:ascii="仿宋_GB2312" w:hAnsi="仿宋_GB2312" w:cs="仿宋_GB2312" w:eastAsia="仿宋_GB2312"/>
                <w:sz w:val="21"/>
                <w:b/>
              </w:rPr>
              <w:t>（五）培训机构</w:t>
            </w:r>
          </w:p>
          <w:p>
            <w:pPr>
              <w:pStyle w:val="null3"/>
              <w:ind w:firstLine="480"/>
              <w:jc w:val="both"/>
            </w:pPr>
            <w:r>
              <w:rPr>
                <w:rFonts w:ascii="仿宋_GB2312" w:hAnsi="仿宋_GB2312" w:cs="仿宋_GB2312" w:eastAsia="仿宋_GB2312"/>
                <w:sz w:val="21"/>
              </w:rPr>
              <w:t>此次培训任务可由建立内部培训机构和专兼职师资队伍的大中型重点企业承担，也可由符合条件的行业协会、专业培训机构等承担，优先选择在技术、设施、师资、课程管理方面更有优势的企业或培训机构。</w:t>
            </w:r>
          </w:p>
          <w:p>
            <w:pPr>
              <w:pStyle w:val="null3"/>
              <w:ind w:firstLine="562"/>
              <w:jc w:val="both"/>
            </w:pPr>
            <w:r>
              <w:rPr>
                <w:rFonts w:ascii="仿宋_GB2312" w:hAnsi="仿宋_GB2312" w:cs="仿宋_GB2312" w:eastAsia="仿宋_GB2312"/>
                <w:sz w:val="21"/>
                <w:b/>
              </w:rPr>
              <w:t>四、具体培训内容</w:t>
            </w:r>
          </w:p>
          <w:p>
            <w:pPr>
              <w:pStyle w:val="null3"/>
              <w:ind w:firstLine="480"/>
              <w:jc w:val="both"/>
            </w:pPr>
            <w:r>
              <w:rPr>
                <w:rFonts w:ascii="仿宋_GB2312" w:hAnsi="仿宋_GB2312" w:cs="仿宋_GB2312" w:eastAsia="仿宋_GB2312"/>
                <w:sz w:val="21"/>
              </w:rPr>
              <w:t>根据行业企业特点、培训人员及培训课时要求等情况，科学设计各类行业、人员培训时长及课程设置，具体可参考以下设置内容模块和具体课程。</w:t>
            </w:r>
          </w:p>
          <w:p>
            <w:pPr>
              <w:pStyle w:val="null3"/>
              <w:ind w:firstLine="480"/>
              <w:jc w:val="both"/>
            </w:pPr>
            <w:r>
              <w:rPr>
                <w:rFonts w:ascii="仿宋_GB2312" w:hAnsi="仿宋_GB2312" w:cs="仿宋_GB2312" w:eastAsia="仿宋_GB2312"/>
                <w:sz w:val="21"/>
                <w:b/>
                <w:color w:val="000000"/>
              </w:rPr>
              <w:t>1.非煤矿山重点企业重点人员</w:t>
            </w:r>
          </w:p>
          <w:p>
            <w:pPr>
              <w:pStyle w:val="null3"/>
              <w:ind w:firstLine="482"/>
              <w:jc w:val="both"/>
            </w:pPr>
            <w:r>
              <w:rPr>
                <w:rFonts w:ascii="仿宋_GB2312" w:hAnsi="仿宋_GB2312" w:cs="仿宋_GB2312" w:eastAsia="仿宋_GB2312"/>
                <w:sz w:val="21"/>
                <w:b/>
                <w:color w:val="000000"/>
              </w:rPr>
              <w:t>1.1、安全生产和职业健康分管负责人</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753"/>
              <w:gridCol w:w="49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安全领导力</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安全风险分级管控和隐患排查治理双重预防机制建设</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事故、事件管理</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矿山典型事故案例分析</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工伤保险和工伤预防政策的相关内容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0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1.2、专职安全、职业健康管理人员</w:t>
            </w:r>
          </w:p>
          <w:tbl>
            <w:tblPr>
              <w:tblBorders>
                <w:top w:val="none" w:color="000000" w:sz="4"/>
                <w:left w:val="none" w:color="000000" w:sz="4"/>
                <w:bottom w:val="none" w:color="000000" w:sz="4"/>
                <w:right w:val="none" w:color="000000" w:sz="4"/>
                <w:insideH w:val="none"/>
                <w:insideV w:val="none"/>
              </w:tblBorders>
            </w:tblPr>
            <w:tblGrid>
              <w:gridCol w:w="284"/>
              <w:gridCol w:w="1673"/>
              <w:gridCol w:w="590"/>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矿山开采安全技术</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事故管理</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矿山企业工伤事故形势及典型事故案例分析</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ind w:firstLine="562"/>
              <w:jc w:val="both"/>
            </w:pP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班组长</w:t>
            </w:r>
          </w:p>
          <w:tbl>
            <w:tblPr>
              <w:tblBorders>
                <w:top w:val="none" w:color="000000" w:sz="4"/>
                <w:left w:val="none" w:color="000000" w:sz="4"/>
                <w:bottom w:val="none" w:color="000000" w:sz="4"/>
                <w:right w:val="none" w:color="000000" w:sz="4"/>
                <w:insideH w:val="none"/>
                <w:insideV w:val="none"/>
              </w:tblBorders>
            </w:tblPr>
            <w:tblGrid>
              <w:gridCol w:w="284"/>
              <w:gridCol w:w="1635"/>
              <w:gridCol w:w="628"/>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矿山安全生产法律法规</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班组长与安全生产</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安全管理知识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矿山开采安全技术</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职业危害及防护知识</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矿山企业典型事故案例分析</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事故与应急处置</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bl>
          <w:p>
            <w:pPr>
              <w:pStyle w:val="null3"/>
              <w:ind w:firstLine="56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机械制造行业重点企业重点人员</w:t>
            </w:r>
          </w:p>
          <w:p>
            <w:pPr>
              <w:pStyle w:val="null3"/>
              <w:ind w:firstLine="482"/>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安全生产和职业健康分管负责人</w:t>
            </w:r>
          </w:p>
          <w:tbl>
            <w:tblPr>
              <w:tblInd w:type="dxa" w:w="105"/>
              <w:tblBorders>
                <w:top w:val="none" w:color="000000" w:sz="4"/>
                <w:left w:val="none" w:color="000000" w:sz="4"/>
                <w:bottom w:val="none" w:color="000000" w:sz="4"/>
                <w:right w:val="none" w:color="000000" w:sz="4"/>
                <w:insideH w:val="none"/>
                <w:insideV w:val="none"/>
              </w:tblBorders>
            </w:tblPr>
            <w:tblGrid>
              <w:gridCol w:w="274"/>
              <w:gridCol w:w="1698"/>
              <w:gridCol w:w="570"/>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安全领导力</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重大风险管控</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事故、事件管理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机械制造企业工伤事故形势及典型事故案例</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工伤保险和工伤预防政策的相关内容</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2.2、</w:t>
            </w:r>
            <w:r>
              <w:rPr>
                <w:rFonts w:ascii="仿宋_GB2312" w:hAnsi="仿宋_GB2312" w:cs="仿宋_GB2312" w:eastAsia="仿宋_GB2312"/>
                <w:sz w:val="21"/>
                <w:b/>
                <w:color w:val="000000"/>
              </w:rPr>
              <w:t>专职安全、职业健康管理人员</w:t>
            </w:r>
          </w:p>
          <w:tbl>
            <w:tblPr>
              <w:tblInd w:type="dxa" w:w="105"/>
              <w:tblBorders>
                <w:top w:val="none" w:color="000000" w:sz="4"/>
                <w:left w:val="none" w:color="000000" w:sz="4"/>
                <w:bottom w:val="none" w:color="000000" w:sz="4"/>
                <w:right w:val="none" w:color="000000" w:sz="4"/>
                <w:insideH w:val="none"/>
                <w:insideV w:val="none"/>
              </w:tblBorders>
            </w:tblPr>
            <w:tblGrid>
              <w:gridCol w:w="288"/>
              <w:gridCol w:w="1668"/>
              <w:gridCol w:w="591"/>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安全生产相关法律法规及政策</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安全生产技术</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职业危害及预防</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事故管理</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机械制造企业工伤事故形势及典型事故案例</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国内外有关先进管理理论和方法</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bl>
          <w:p>
            <w:pPr>
              <w:pStyle w:val="null3"/>
              <w:jc w:val="both"/>
            </w:pPr>
            <w:r>
              <w:rPr>
                <w:rFonts w:ascii="仿宋_GB2312" w:hAnsi="仿宋_GB2312" w:cs="仿宋_GB2312" w:eastAsia="仿宋_GB2312"/>
                <w:sz w:val="21"/>
                <w:b/>
                <w:color w:val="000000"/>
              </w:rPr>
              <w:t>2.3、</w:t>
            </w:r>
            <w:r>
              <w:rPr>
                <w:rFonts w:ascii="仿宋_GB2312" w:hAnsi="仿宋_GB2312" w:cs="仿宋_GB2312" w:eastAsia="仿宋_GB2312"/>
                <w:sz w:val="21"/>
                <w:b/>
                <w:color w:val="000000"/>
              </w:rPr>
              <w:t>班组长(含车间主任)</w:t>
            </w:r>
          </w:p>
          <w:tbl>
            <w:tblPr>
              <w:tblInd w:type="dxa" w:w="105"/>
              <w:tblBorders>
                <w:top w:val="none" w:color="000000" w:sz="4"/>
                <w:left w:val="none" w:color="000000" w:sz="4"/>
                <w:bottom w:val="none" w:color="000000" w:sz="4"/>
                <w:right w:val="none" w:color="000000" w:sz="4"/>
                <w:insideH w:val="none"/>
                <w:insideV w:val="none"/>
              </w:tblBorders>
            </w:tblPr>
            <w:tblGrid>
              <w:gridCol w:w="288"/>
              <w:gridCol w:w="1520"/>
              <w:gridCol w:w="739"/>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学时(小时)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安全生产法律法规基本知识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班组长与安全生产</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安全基础知识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安全生产管理与技术</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职业危害及防护知识</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机械制造企业典型事故案例</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事故与应急处置</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工伤保险和工伤预防政策相关内容</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bl>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职业病危害专项治理重点企业人员</w:t>
            </w:r>
          </w:p>
          <w:p>
            <w:pPr>
              <w:pStyle w:val="null3"/>
              <w:ind w:firstLine="482"/>
              <w:jc w:val="both"/>
            </w:pPr>
            <w:r>
              <w:rPr>
                <w:rFonts w:ascii="仿宋_GB2312" w:hAnsi="仿宋_GB2312" w:cs="仿宋_GB2312" w:eastAsia="仿宋_GB2312"/>
                <w:sz w:val="21"/>
                <w:b/>
                <w:color w:val="000000"/>
              </w:rPr>
              <w:t>3.1</w:t>
            </w:r>
            <w:r>
              <w:rPr>
                <w:rFonts w:ascii="仿宋_GB2312" w:hAnsi="仿宋_GB2312" w:cs="仿宋_GB2312" w:eastAsia="仿宋_GB2312"/>
                <w:sz w:val="21"/>
                <w:b/>
                <w:color w:val="000000"/>
              </w:rPr>
              <w:t>职业健康分管负责人</w:t>
            </w:r>
          </w:p>
          <w:tbl>
            <w:tblPr>
              <w:tblInd w:type="dxa" w:w="105"/>
              <w:tblBorders>
                <w:top w:val="none" w:color="000000" w:sz="4"/>
                <w:left w:val="none" w:color="000000" w:sz="4"/>
                <w:bottom w:val="none" w:color="000000" w:sz="4"/>
                <w:right w:val="none" w:color="000000" w:sz="4"/>
                <w:insideH w:val="none"/>
                <w:insideV w:val="none"/>
              </w:tblBorders>
            </w:tblPr>
            <w:tblGrid>
              <w:gridCol w:w="184"/>
              <w:gridCol w:w="382"/>
              <w:gridCol w:w="1534"/>
              <w:gridCol w:w="253"/>
              <w:gridCol w:w="18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形势与政策</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我国职业健康形势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必修</w:t>
                  </w: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职业健康、工伤保险相关法律法规、规章及主要职</w:t>
                  </w:r>
                  <w:r>
                    <w:br/>
                  </w:r>
                  <w:r>
                    <w:rPr>
                      <w:rFonts w:ascii="仿宋_GB2312" w:hAnsi="仿宋_GB2312" w:cs="仿宋_GB2312" w:eastAsia="仿宋_GB2312"/>
                      <w:sz w:val="21"/>
                      <w:color w:val="000000"/>
                    </w:rPr>
                    <w:t>业卫生标准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用人单位主要负责人职业病防治、工伤预防责任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职业健康基础知识</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所属行业职业病危害因素及其防护措施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职业健康管理知识</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用人单位职业病防治机构和规章制度建设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用人单位职业病防治计划和实施方案制定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职业病危害事故应急救援</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案例分析</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常见职业病防治违法违规案例分析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选修</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职业健康相关工作</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健康企业建设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职业病危害专项治理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职业病危害综合风险评估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工作场所职业健康促进</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工作相关疾病预防控制措施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劳动者职业健康素养、“职业健康达人”基本标准</w:t>
                  </w:r>
                  <w:r>
                    <w:br/>
                  </w:r>
                  <w:r>
                    <w:rPr>
                      <w:rFonts w:ascii="仿宋_GB2312" w:hAnsi="仿宋_GB2312" w:cs="仿宋_GB2312" w:eastAsia="仿宋_GB2312"/>
                      <w:sz w:val="21"/>
                      <w:color w:val="000000"/>
                    </w:rPr>
                    <w:t>与评选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传染病预防控制措施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vMerge/>
                  <w:tcBorders>
                    <w:top w:val="none" w:color="000000" w:sz="4"/>
                    <w:left w:val="none" w:color="000000" w:sz="4"/>
                    <w:bottom w:val="single" w:color="000000" w:sz="4"/>
                    <w:right w:val="single" w:color="000000" w:sz="4"/>
                  </w:tcBorders>
                </w:tcPr>
                <w:p/>
              </w:tc>
            </w:tr>
          </w:tbl>
          <w:p>
            <w:pPr>
              <w:pStyle w:val="null3"/>
              <w:ind w:firstLine="482"/>
              <w:jc w:val="both"/>
            </w:pPr>
            <w:r>
              <w:rPr>
                <w:rFonts w:ascii="仿宋_GB2312" w:hAnsi="仿宋_GB2312" w:cs="仿宋_GB2312" w:eastAsia="仿宋_GB2312"/>
                <w:sz w:val="21"/>
                <w:b/>
                <w:color w:val="000000"/>
              </w:rPr>
              <w:t>3.2</w:t>
            </w:r>
            <w:r>
              <w:rPr>
                <w:rFonts w:ascii="仿宋_GB2312" w:hAnsi="仿宋_GB2312" w:cs="仿宋_GB2312" w:eastAsia="仿宋_GB2312"/>
                <w:sz w:val="21"/>
                <w:b/>
                <w:color w:val="000000"/>
              </w:rPr>
              <w:t>职业健康管理人员</w:t>
            </w:r>
          </w:p>
          <w:tbl>
            <w:tblPr>
              <w:tblInd w:type="dxa" w:w="105"/>
              <w:tblBorders>
                <w:top w:val="none" w:color="000000" w:sz="4"/>
                <w:left w:val="none" w:color="000000" w:sz="4"/>
                <w:bottom w:val="none" w:color="000000" w:sz="4"/>
                <w:right w:val="none" w:color="000000" w:sz="4"/>
                <w:insideH w:val="none"/>
                <w:insideV w:val="none"/>
              </w:tblBorders>
            </w:tblPr>
            <w:tblGrid>
              <w:gridCol w:w="181"/>
              <w:gridCol w:w="389"/>
              <w:gridCol w:w="264"/>
              <w:gridCol w:w="1346"/>
              <w:gridCol w:w="199"/>
              <w:gridCol w:w="15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6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培训内容</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学时</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形势与政策</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职业健康、工伤保险相关法律法规、规章及主要职业卫生标准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必修</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职业健康基础知识</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所属行业职业病危害因素及防护措施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职业健康管理知识</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责任体系构建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用人单位职业病防治机构和规章制度建设</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用人单位职业病防治计划和实施方案制定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前期预防管理</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职业病危害项目申报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建设项目职业病防护设施“三同时”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劳动过程中的防护与管理</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职业病危害警示和告知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职业病危害因素检测</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职业病防护设施运行与维护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职业病防护用品选用与管理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职业健康培训管理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职业健康档案管理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职业健康监护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职业病危害事故应急救援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职业病危害综合风险评估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案例分析</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常见职业病防治违法违规案例分析</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选修</w:t>
                  </w:r>
                </w:p>
              </w:tc>
            </w:tr>
            <w:tr>
              <w:tc>
                <w:tcPr>
                  <w:tcW w:type="dxa" w:w="18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职业健康相关工作</w:t>
                  </w: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健康企业建设</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职业病危害专项治理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工作场所职业健康促进</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工作相关疾病预防控制措施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劳动者职业健康素养、“职业健康达人”基本标准与评选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r>
              <w:tc>
                <w:tcPr>
                  <w:tcW w:type="dxa" w:w="181"/>
                  <w:vMerge/>
                  <w:tcBorders>
                    <w:top w:val="none" w:color="000000" w:sz="4"/>
                    <w:left w:val="single" w:color="000000" w:sz="4"/>
                    <w:bottom w:val="none" w:color="000000" w:sz="4"/>
                    <w:right w:val="single" w:color="000000" w:sz="4"/>
                  </w:tcBorders>
                </w:tcPr>
                <w:p/>
              </w:tc>
              <w:tc>
                <w:tcPr>
                  <w:tcW w:type="dxa" w:w="389"/>
                  <w:vMerge/>
                  <w:tcBorders>
                    <w:top w:val="none" w:color="000000" w:sz="4"/>
                    <w:left w:val="none" w:color="000000" w:sz="4"/>
                    <w:bottom w:val="none" w:color="000000" w:sz="4"/>
                    <w:right w:val="single" w:color="000000" w:sz="4"/>
                  </w:tcBorders>
                </w:tcPr>
                <w:p/>
              </w:tc>
              <w:tc>
                <w:tcPr>
                  <w:tcW w:type="dxa" w:w="1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传染病预防控制措施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vMerge/>
                  <w:tcBorders>
                    <w:top w:val="none" w:color="000000" w:sz="4"/>
                    <w:left w:val="none" w:color="000000" w:sz="4"/>
                    <w:bottom w:val="none" w:color="000000" w:sz="4"/>
                    <w:right w:val="single" w:color="000000" w:sz="4"/>
                  </w:tcBorders>
                </w:tcPr>
                <w:p/>
              </w:tc>
            </w:tr>
          </w:tbl>
          <w:p>
            <w:pPr>
              <w:pStyle w:val="null3"/>
              <w:ind w:firstLine="48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培训考核</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4.1考核方式:培训结业实行考试制度，通过线上平台或现场进行考试，考试合格的</w:t>
            </w:r>
            <w:r>
              <w:rPr>
                <w:rFonts w:ascii="仿宋_GB2312" w:hAnsi="仿宋_GB2312" w:cs="仿宋_GB2312" w:eastAsia="仿宋_GB2312"/>
                <w:sz w:val="21"/>
                <w:color w:val="000000"/>
              </w:rPr>
              <w:t>，线上发放考试合格证，可减免相应的安全生产、职业健康再培训或继续教育学时。</w:t>
            </w:r>
          </w:p>
          <w:p>
            <w:pPr>
              <w:pStyle w:val="null3"/>
              <w:ind w:firstLine="480"/>
              <w:jc w:val="both"/>
            </w:pPr>
            <w:r>
              <w:rPr>
                <w:rFonts w:ascii="仿宋_GB2312" w:hAnsi="仿宋_GB2312" w:cs="仿宋_GB2312" w:eastAsia="仿宋_GB2312"/>
                <w:sz w:val="21"/>
                <w:color w:val="000000"/>
              </w:rPr>
              <w:t>按照教考分离的原则，考试工作由采购人统一实施，按班次出卷。考试方式采取集中闭卷形式，培训含有实操内容的，将进行实操考试。供应商应协助采购人完成本项工作，保证考试的顺利实施。</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4.2权重比例:采用百分制</w:t>
            </w:r>
            <w:r>
              <w:rPr>
                <w:rFonts w:ascii="仿宋_GB2312" w:hAnsi="仿宋_GB2312" w:cs="仿宋_GB2312" w:eastAsia="仿宋_GB2312"/>
                <w:sz w:val="21"/>
                <w:color w:val="000000"/>
              </w:rPr>
              <w:t>，80分为合格。</w:t>
            </w:r>
          </w:p>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4.3培训班应当进行效果评估，以不断提升培训质量。鼓励培训组织单位聘请第三方机构对培训效果开展评估。</w:t>
            </w:r>
          </w:p>
          <w:p>
            <w:pPr>
              <w:pStyle w:val="null3"/>
              <w:ind w:firstLine="562"/>
              <w:jc w:val="both"/>
            </w:pPr>
            <w:r>
              <w:rPr>
                <w:rFonts w:ascii="仿宋_GB2312" w:hAnsi="仿宋_GB2312" w:cs="仿宋_GB2312" w:eastAsia="仿宋_GB2312"/>
                <w:sz w:val="21"/>
                <w:b/>
                <w:color w:val="000000"/>
              </w:rPr>
              <w:t>四、相关要求</w:t>
            </w:r>
          </w:p>
          <w:p>
            <w:pPr>
              <w:pStyle w:val="null3"/>
              <w:ind w:firstLine="480"/>
              <w:jc w:val="both"/>
            </w:pPr>
            <w:r>
              <w:rPr>
                <w:rFonts w:ascii="仿宋_GB2312" w:hAnsi="仿宋_GB2312" w:cs="仿宋_GB2312" w:eastAsia="仿宋_GB2312"/>
                <w:sz w:val="21"/>
                <w:color w:val="000000"/>
              </w:rPr>
              <w:t>（一）加强培训组织，确保工作成效。联合行业主管部门做好培训班参训人员的通知、协调和保障，合理安排班次人员，加强培训学员管理，严格培训纪律及相关规定，确保安全高效。</w:t>
            </w:r>
          </w:p>
          <w:p>
            <w:pPr>
              <w:pStyle w:val="null3"/>
              <w:ind w:firstLine="480"/>
              <w:jc w:val="both"/>
            </w:pPr>
            <w:r>
              <w:rPr>
                <w:rFonts w:ascii="仿宋_GB2312" w:hAnsi="仿宋_GB2312" w:cs="仿宋_GB2312" w:eastAsia="仿宋_GB2312"/>
                <w:sz w:val="21"/>
                <w:color w:val="000000"/>
              </w:rPr>
              <w:t>（二）规范资料留存，完善档案管理。培训实施单位要加强培训全过程的记录材料、影像等档案资料的收集整理，建立质量管理制度、培训大纲、计划等文件，整理形成培训项目实施档案，资料要全面、详实、完整，目录清晰，归档成册。项目结束后市人社局将联合行业主管部门对项目实施进行监督检查和评估验收，要配合做好评估验收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满足本项目质量、进度等要求。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按照磋商文件、投标文件和合同约定进行验收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类似业绩一览表.docx 报价表 响应文件封面 供应商应提交的相关资格证明材料.docx 拟投入本项目人员配置情况表.docx 残疾人福利性单位声明函 服务方案 其他资料.docx 标的清单 响应函 投标保证金.docx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类似业绩一览表.docx 报价表 响应文件封面 供应商应提交的相关资格证明材料.docx 拟投入本项目人员配置情况表.docx 残疾人福利性单位声明函 服务方案 其他资料.docx 标的清单 响应函 投标保证金.docx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投标供应商提供2021年1月至今（以合同签订日期为准）完成的工伤预防或安全生产（职业健康）培训服务项目类似业绩证明，每提供一份业绩得2分，最高得8分； 注：业绩须是投标供应商完成的类似项目，须在响应文件中提供成交（中标）通知书或协议书（合同）复印件并加盖公章。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拟投入培训设备计划</w:t>
            </w:r>
          </w:p>
        </w:tc>
        <w:tc>
          <w:tcPr>
            <w:tcW w:type="dxa" w:w="2492"/>
          </w:tcPr>
          <w:p>
            <w:pPr>
              <w:pStyle w:val="null3"/>
            </w:pPr>
            <w:r>
              <w:rPr>
                <w:rFonts w:ascii="仿宋_GB2312" w:hAnsi="仿宋_GB2312" w:cs="仿宋_GB2312" w:eastAsia="仿宋_GB2312"/>
              </w:rPr>
              <w:t>为保证培训工作顺利实施，针对供应商拟投入设备计划进行评比，包含①配置清单（清单内容须包括设备名称，品牌、规格型号），②对应设备情况说明（对应设备用途，数量，功能介绍，技术参数），③对应设备已服役年限清单。④设备权属证明（设备为供应商自有的，供应商须提供相关设备图片、设备购置发票复印件；如为供应商租赁的，供应商须提供相关设备图片、租赁合同复印件及出租方设备购置发票复印件）。以上4项内容提供齐全的得8分，每有一项缺失或未提供或提供不齐全的扣2分，此项分值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培训平台</w:t>
            </w:r>
          </w:p>
        </w:tc>
        <w:tc>
          <w:tcPr>
            <w:tcW w:type="dxa" w:w="2492"/>
          </w:tcPr>
          <w:p>
            <w:pPr>
              <w:pStyle w:val="null3"/>
            </w:pPr>
            <w:r>
              <w:rPr>
                <w:rFonts w:ascii="仿宋_GB2312" w:hAnsi="仿宋_GB2312" w:cs="仿宋_GB2312" w:eastAsia="仿宋_GB2312"/>
              </w:rPr>
              <w:t>1、供应商具备自有的工伤预防线上培训的服务网络培训平台的得2分。 注：提供线上培训平台网址、网址在工信部ICP/IP地址/域名信息备案管理系统查询截图、手机端APP或小程序主体二维码。证明材料不齐不得分。 2、供应商具有与工伤预防相关的国家版权局颁发计算机著作权证书的，每个得0.2分，最高得1分。 注：提供国家版权局颁发的计算机著作权证书复印件并加盖公章。证明材料不齐不得分。 3、为确保线上数据的安全保密性，供应商需具有自有的培训平台，并且平台具有信息系统安全等级保护三级及以上的得2分。 注：提供信息系统安全等级保护备案证明复印件并加盖供应商公章，证明材料不齐不得分。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线上培训保障</w:t>
            </w:r>
          </w:p>
        </w:tc>
        <w:tc>
          <w:tcPr>
            <w:tcW w:type="dxa" w:w="2492"/>
          </w:tcPr>
          <w:p>
            <w:pPr>
              <w:pStyle w:val="null3"/>
            </w:pPr>
            <w:r>
              <w:rPr>
                <w:rFonts w:ascii="仿宋_GB2312" w:hAnsi="仿宋_GB2312" w:cs="仿宋_GB2312" w:eastAsia="仿宋_GB2312"/>
              </w:rPr>
              <w:t>供应商针对本项目所提供的线上培训：（技术功能包含①线上课程自主选学、②学员实名制、③培训实名签到、④后台学时统计、⑤人脸识别防代学、⑥学习过程拍照防挂课、⑦在线考试功能、⑧在线问卷、⑨学情统计、⑩培训证书功能）。 提供以上功能截图，每有一个功能满足的得1分，此项最多得10分。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线下培训方案</w:t>
            </w:r>
          </w:p>
        </w:tc>
        <w:tc>
          <w:tcPr>
            <w:tcW w:type="dxa" w:w="2492"/>
          </w:tcPr>
          <w:p>
            <w:pPr>
              <w:pStyle w:val="null3"/>
            </w:pPr>
            <w:r>
              <w:rPr>
                <w:rFonts w:ascii="仿宋_GB2312" w:hAnsi="仿宋_GB2312" w:cs="仿宋_GB2312" w:eastAsia="仿宋_GB2312"/>
              </w:rPr>
              <w:t>根据供应商针对本项目所提供的线下培训工作方案进行评审，（包含①线下培训任务；②线下培训进度计划；③理论、实操培训措施；④培训教案、课件资料和学员管理方案）。 以上4项方案内容齐全合理得8分，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根据本项目实际需求及特点，制定实施方案，实施方案内容包含①项目组织实施进度方案②全程跟踪、全程问效方案③应急预案④保密方案⑤档案管理制度。 以上5项方案内容齐全合理且无缺陷得10分，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供应商具有数字培训课程，培训课程内容应保证在服务过程不会产生因第三方提出侵犯其专利权、商标权或其它知识产权而引起的法律和经济纠纷。 1.供应商具有符合矿山行业培训大纲培训课程，每有一个课程材料获得作品登记证书的得1分，此项最高得4分。 2.供应商具有符合机械制造行业培训大纲培训课程，每有一个课程材料获得作品登记证书的得1分，此项最高得4分。 3.供应商具有符合职业病培训大纲培训课程，每有一个课程材料获得作品登记证书的得1分，此项最高得2分。 注：提供中国版权保护中心或全国作品登记信息数据库管理平台的查询截图予以佐证，查询截图证明材料须体现相关行业，否则不得分。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1.供应商有健全的培训管理组织能力，以保障项目的开展： （1）项目管理人员具有注册安全工程师的得1分；（2）培训管理人员具有安全评价师的得1分；（3）培训师资具有矿山类高级以上职称的得1分；（4）培训师资具有机械制造类高级上职称的得1分；（5）培训师资具有职业健康类高级以上职称的得1分；（6）培训团队具有心理咨询师高级以上职称的得1分；（7）培训团队具有健康管理师高级以上职称的得1分；（8）培训团队具有红十字救护员资格得1分。 注： （1）以上人员须提供有效的身份证复印件、相关证书复印件、劳动合同或聘用协议复印件，未按以上要求提供的不得分。 （2）以上人员具有两个及以上证书的不重复得分，持有多证的按照评分顺序计取得分。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供应商制定针对本项目的后续工作配合措施，包含①本地化服务的方案，②教学/培训内容、文字说明等相关材料可溯源保证措施，③保证培训考试的合格率方案，④培训结束后的增值服务方案，能够根据采购人需求进行指导、咨询、学员实践操作解答和专业知识互动研讨等，⑤处理问题响应时间、帮助采购人开展后续相关管理工作等保障方案。以上5项方案内容齐全合理且无缺陷得10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对本项目服务工作建议</w:t>
            </w:r>
          </w:p>
        </w:tc>
        <w:tc>
          <w:tcPr>
            <w:tcW w:type="dxa" w:w="2492"/>
          </w:tcPr>
          <w:p>
            <w:pPr>
              <w:pStyle w:val="null3"/>
            </w:pPr>
            <w:r>
              <w:rPr>
                <w:rFonts w:ascii="仿宋_GB2312" w:hAnsi="仿宋_GB2312" w:cs="仿宋_GB2312" w:eastAsia="仿宋_GB2312"/>
              </w:rPr>
              <w:t>供应商制定针对本项目服务工作的建议方案，包含①项目结果或成效达成的建议方案，②过程质量控制建议方案，③培训过程风险应对建议方案，④工作日报或台账建立的建议方案。以上4项方案内容齐全合理且无缺陷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 。</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