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版本号：ZXLS-ZC-2025-07520250710002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串联质谱设备专用试剂耗材项目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ZXLS-ZC-2025-075</w:t>
      </w:r>
      <w:r>
        <w:br/>
      </w:r>
      <w:r>
        <w:br/>
      </w:r>
      <w:r>
        <w:br/>
      </w:r>
    </w:p>
    <w:p>
      <w:pPr>
        <w:pStyle w:val="null3"/>
        <w:jc w:val="center"/>
        <w:outlineLvl w:val="2"/>
      </w:pPr>
      <w:r>
        <w:rPr>
          <w:rFonts w:ascii="仿宋_GB2312" w:hAnsi="仿宋_GB2312" w:cs="仿宋_GB2312" w:eastAsia="仿宋_GB2312"/>
          <w:sz w:val="28"/>
          <w:b/>
        </w:rPr>
        <w:t>汉中市妇幼保健院</w:t>
      </w:r>
    </w:p>
    <w:p>
      <w:pPr>
        <w:pStyle w:val="null3"/>
        <w:jc w:val="center"/>
        <w:outlineLvl w:val="2"/>
      </w:pPr>
      <w:r>
        <w:rPr>
          <w:rFonts w:ascii="仿宋_GB2312" w:hAnsi="仿宋_GB2312" w:cs="仿宋_GB2312" w:eastAsia="仿宋_GB2312"/>
          <w:sz w:val="28"/>
          <w:b/>
        </w:rPr>
        <w:t>陕西中欣联盛工程项目管理有限公司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陕西中欣联盛工程项目管理有限公司</w:t>
      </w:r>
      <w:r>
        <w:rPr>
          <w:rFonts w:ascii="仿宋_GB2312" w:hAnsi="仿宋_GB2312" w:cs="仿宋_GB2312" w:eastAsia="仿宋_GB2312"/>
        </w:rPr>
        <w:t>（以下简称“代理机构”）受</w:t>
      </w:r>
      <w:r>
        <w:rPr>
          <w:rFonts w:ascii="仿宋_GB2312" w:hAnsi="仿宋_GB2312" w:cs="仿宋_GB2312" w:eastAsia="仿宋_GB2312"/>
        </w:rPr>
        <w:t>汉中市妇幼保健院</w:t>
      </w:r>
      <w:r>
        <w:rPr>
          <w:rFonts w:ascii="仿宋_GB2312" w:hAnsi="仿宋_GB2312" w:cs="仿宋_GB2312" w:eastAsia="仿宋_GB2312"/>
        </w:rPr>
        <w:t>委托，拟对</w:t>
      </w:r>
      <w:r>
        <w:rPr>
          <w:rFonts w:ascii="仿宋_GB2312" w:hAnsi="仿宋_GB2312" w:cs="仿宋_GB2312" w:eastAsia="仿宋_GB2312"/>
        </w:rPr>
        <w:t>串联质谱设备专用试剂耗材项目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ZXLS-ZC-2025-075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串联质谱设备专用试剂耗材项目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拟采购串联质谱设备专用试剂耗材一批，详细参数见采购内容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采购包1（串联质谱设备专用试剂耗材项目）：属于专门面向中小企业采购。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提供加盖投标供应商公章的营业执照扫描件）</w:t>
      </w:r>
    </w:p>
    <w:p>
      <w:pPr>
        <w:pStyle w:val="null3"/>
      </w:pPr>
      <w:r>
        <w:rPr>
          <w:rFonts w:ascii="仿宋_GB2312" w:hAnsi="仿宋_GB2312" w:cs="仿宋_GB2312" w:eastAsia="仿宋_GB2312"/>
        </w:rPr>
        <w:t>2、法定代表人身份证明或授权委托书：法定代表人参加投标须提供《法定代表人身份证明》及身份证扫描件；法定代表人授权他人参加投标，须提供《法定代表人授权委托书》、委托代理人身份证扫描件；（提供加盖投标供应商公章的法定代表人身份证明原件和其身份证扫描件或法定代表人授权委托书原件及被授权人身份证扫描件）。</w:t>
      </w:r>
    </w:p>
    <w:p>
      <w:pPr>
        <w:pStyle w:val="null3"/>
      </w:pPr>
      <w:r>
        <w:rPr>
          <w:rFonts w:ascii="仿宋_GB2312" w:hAnsi="仿宋_GB2312" w:cs="仿宋_GB2312" w:eastAsia="仿宋_GB2312"/>
        </w:rPr>
        <w:t>3、投标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4、资格要求：投标人为代理商的，须提供《医疗器械经营许可证》或《医疗器械经营备案凭证》，及所投医疗器械产品在有效期内的《医疗器械注册证》或《医疗器械产品备案凭证》； 投标人为制造商的，须提供《医疗器械生产许可证》或《医疗器械生产企业登记表》，及所投医疗器械产品在有效期内的《医疗器械注册证》或《医疗器械产品备案凭证》； 所投产品不属于医疗器械的须提供相应的书面声明材料（格式自拟）</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汉中市妇幼保健院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汉中市太白路37号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0916-2223596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陕西中欣联盛工程项目管理有限公司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汉中市汉台区天汉文化产业园A6-A7号楼二楼D-02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15399165001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采购包1：520,430.00元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开户名称：陕西中欣联盛工程项目管理有限公司</w:t>
            </w:r>
          </w:p>
          <w:p>
            <w:pPr>
              <w:pStyle w:val="null3"/>
            </w:pPr>
            <w:r>
              <w:rPr>
                <w:rFonts w:ascii="仿宋_GB2312" w:hAnsi="仿宋_GB2312" w:cs="仿宋_GB2312" w:eastAsia="仿宋_GB2312"/>
              </w:rPr>
              <w:t>开户银行：中国建设银行股份有限公司西安高新四路支行</w:t>
            </w:r>
          </w:p>
          <w:p>
            <w:pPr>
              <w:pStyle w:val="null3"/>
            </w:pPr>
            <w:r>
              <w:rPr>
                <w:rFonts w:ascii="仿宋_GB2312" w:hAnsi="仿宋_GB2312" w:cs="仿宋_GB2312" w:eastAsia="仿宋_GB2312"/>
              </w:rPr>
              <w:t>银行账号：61050171560000001077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关于印发&lt;招标代理服务收费管理暂行办法&gt;的通知》（计价格[2002]1980号）、发改价格〔2011〕534号文及《陕西省住房和城乡建设厅文件陕价行发【2014】88号》文收费标准向中标（成交）供应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汉中市妇幼保健院</w:t>
      </w:r>
      <w:r>
        <w:rPr>
          <w:rFonts w:ascii="仿宋_GB2312" w:hAnsi="仿宋_GB2312" w:cs="仿宋_GB2312" w:eastAsia="仿宋_GB2312"/>
        </w:rPr>
        <w:t>和</w:t>
      </w:r>
      <w:r>
        <w:rPr>
          <w:rFonts w:ascii="仿宋_GB2312" w:hAnsi="仿宋_GB2312" w:cs="仿宋_GB2312" w:eastAsia="仿宋_GB2312"/>
        </w:rPr>
        <w:t>陕西中欣联盛工程项目管理有限公司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汉中市妇幼保健院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陕西中欣联盛工程项目管理有限公司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陕西中欣联盛工程项目管理有限公司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单证齐全，应有产品合格证、质量证明、使用说明、保修保质证明、发票和其他应当具有的单证，并符合国家法律、法规对该产品规定的国家标准的要求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陕西中欣联盛工程项目管理有限公司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陕西中欣联盛工程项目管理有限公司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陕西中欣联盛工程项目管理有限公司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联系人：任涛</w:t>
      </w:r>
    </w:p>
    <w:p>
      <w:pPr>
        <w:pStyle w:val="null3"/>
      </w:pPr>
      <w:r>
        <w:rPr>
          <w:rFonts w:ascii="仿宋_GB2312" w:hAnsi="仿宋_GB2312" w:cs="仿宋_GB2312" w:eastAsia="仿宋_GB2312"/>
        </w:rPr>
        <w:t>联系电话：15399165001</w:t>
      </w:r>
    </w:p>
    <w:p>
      <w:pPr>
        <w:pStyle w:val="null3"/>
      </w:pPr>
      <w:r>
        <w:rPr>
          <w:rFonts w:ascii="仿宋_GB2312" w:hAnsi="仿宋_GB2312" w:cs="仿宋_GB2312" w:eastAsia="仿宋_GB2312"/>
        </w:rPr>
        <w:t>地址：汉中市汉台区天汉文化产业园A6-A7号楼二楼D-02</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拟采购串联质谱设备专用试剂耗材一批，详细参数见采购内容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520,430.00</w:t>
      </w:r>
    </w:p>
    <w:p>
      <w:pPr>
        <w:pStyle w:val="null3"/>
      </w:pPr>
      <w:r>
        <w:rPr>
          <w:rFonts w:ascii="仿宋_GB2312" w:hAnsi="仿宋_GB2312" w:cs="仿宋_GB2312" w:eastAsia="仿宋_GB2312"/>
        </w:rPr>
        <w:t>采购包最高限价（元）: 520,430.00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专用试剂耗材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520,430.00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标的名称：专用试剂耗材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 xml:space="preserve"> </w:t>
            </w:r>
          </w:p>
          <w:p>
            <w:pPr>
              <w:pStyle w:val="null3"/>
            </w:pPr>
            <w:r>
              <w:rPr>
                <w:rFonts w:ascii="仿宋_GB2312" w:hAnsi="仿宋_GB2312" w:cs="仿宋_GB2312" w:eastAsia="仿宋_GB2312"/>
                <w:b/>
              </w:rPr>
              <w:t>技术参数要求</w:t>
            </w:r>
          </w:p>
          <w:p>
            <w:pPr>
              <w:pStyle w:val="null3"/>
              <w:ind w:left="600"/>
            </w:pPr>
            <w:r>
              <w:rPr>
                <w:rFonts w:ascii="仿宋_GB2312" w:hAnsi="仿宋_GB2312" w:cs="仿宋_GB2312" w:eastAsia="仿宋_GB2312"/>
              </w:rPr>
              <w:t>1、试剂方法学：非衍生化串联质谱法；样本类型：滤纸干血片；</w:t>
            </w:r>
          </w:p>
          <w:p>
            <w:pPr>
              <w:pStyle w:val="null3"/>
              <w:ind w:left="600"/>
            </w:pPr>
            <w:r>
              <w:rPr>
                <w:rFonts w:ascii="仿宋_GB2312" w:hAnsi="仿宋_GB2312" w:cs="仿宋_GB2312" w:eastAsia="仿宋_GB2312"/>
              </w:rPr>
              <w:t>2、试剂适用性：NMPA批准备案的试剂说明书中必须注明试剂盒适用串联质谱型号，且必须包含实验室现用的串联质谱设备系统；</w:t>
            </w:r>
          </w:p>
          <w:p>
            <w:pPr>
              <w:pStyle w:val="null3"/>
              <w:ind w:left="600"/>
            </w:pPr>
            <w:r>
              <w:rPr>
                <w:rFonts w:ascii="仿宋_GB2312" w:hAnsi="仿宋_GB2312" w:cs="仿宋_GB2312" w:eastAsia="仿宋_GB2312"/>
              </w:rPr>
              <w:t>3、NMPA批准备案的试剂说明书必须标明试剂盒检验原理；试剂包装规格：包含960人份/盒规格；</w:t>
            </w:r>
          </w:p>
          <w:p>
            <w:pPr>
              <w:pStyle w:val="null3"/>
              <w:ind w:left="600"/>
            </w:pPr>
            <w:r>
              <w:rPr>
                <w:rFonts w:ascii="仿宋_GB2312" w:hAnsi="仿宋_GB2312" w:cs="仿宋_GB2312" w:eastAsia="仿宋_GB2312"/>
              </w:rPr>
              <w:t>4、试剂盒有效期：在规定条件下储存，有效期≥12个月；</w:t>
            </w:r>
          </w:p>
          <w:p>
            <w:pPr>
              <w:pStyle w:val="null3"/>
              <w:ind w:left="600"/>
            </w:pPr>
            <w:r>
              <w:rPr>
                <w:rFonts w:ascii="仿宋_GB2312" w:hAnsi="仿宋_GB2312" w:cs="仿宋_GB2312" w:eastAsia="仿宋_GB2312"/>
              </w:rPr>
              <w:t>5、试剂盒组分包含内标准品、质控品、琥珀酰丙酮分析液、微孔板、微孔板封套、流动相、萃取液等；</w:t>
            </w:r>
          </w:p>
          <w:p>
            <w:pPr>
              <w:pStyle w:val="null3"/>
              <w:ind w:left="600"/>
            </w:pPr>
            <w:r>
              <w:rPr>
                <w:rFonts w:ascii="仿宋_GB2312" w:hAnsi="仿宋_GB2312" w:cs="仿宋_GB2312" w:eastAsia="仿宋_GB2312"/>
              </w:rPr>
              <w:t>6、试剂盒提供的内标准品分析物种类≥25种；</w:t>
            </w:r>
          </w:p>
          <w:p>
            <w:pPr>
              <w:pStyle w:val="null3"/>
              <w:ind w:left="600"/>
            </w:pPr>
            <w:r>
              <w:rPr>
                <w:rFonts w:ascii="仿宋_GB2312" w:hAnsi="仿宋_GB2312" w:cs="仿宋_GB2312" w:eastAsia="仿宋_GB2312"/>
              </w:rPr>
              <w:t>7、NMPA批准备案的试剂说明书中必须注明每小瓶内标准品的大约含量；</w:t>
            </w:r>
          </w:p>
          <w:p>
            <w:pPr>
              <w:pStyle w:val="null3"/>
              <w:ind w:left="600"/>
            </w:pPr>
            <w:r>
              <w:rPr>
                <w:rFonts w:ascii="仿宋_GB2312" w:hAnsi="仿宋_GB2312" w:cs="仿宋_GB2312" w:eastAsia="仿宋_GB2312"/>
              </w:rPr>
              <w:t>8、所提供的试剂盒可检测分析物种类≥43种；</w:t>
            </w:r>
          </w:p>
          <w:p>
            <w:pPr>
              <w:pStyle w:val="null3"/>
              <w:ind w:left="600"/>
            </w:pPr>
            <w:r>
              <w:rPr>
                <w:rFonts w:ascii="仿宋_GB2312" w:hAnsi="仿宋_GB2312" w:cs="仿宋_GB2312" w:eastAsia="仿宋_GB2312"/>
              </w:rPr>
              <w:t>9、NMPA批准备案的试剂说明书中经临床验证的代谢性疾病与检测指标间的对应关系的病种≥22种；</w:t>
            </w:r>
          </w:p>
          <w:p>
            <w:pPr>
              <w:pStyle w:val="null3"/>
              <w:ind w:left="600"/>
            </w:pPr>
            <w:r>
              <w:rPr>
                <w:rFonts w:ascii="仿宋_GB2312" w:hAnsi="仿宋_GB2312" w:cs="仿宋_GB2312" w:eastAsia="仿宋_GB2312"/>
              </w:rPr>
              <w:t>10、试剂盒自带质控品，质控品氨基酸分析物种类不少于11种；</w:t>
            </w:r>
          </w:p>
          <w:p>
            <w:pPr>
              <w:pStyle w:val="null3"/>
              <w:ind w:left="600"/>
            </w:pPr>
            <w:r>
              <w:rPr>
                <w:rFonts w:ascii="仿宋_GB2312" w:hAnsi="仿宋_GB2312" w:cs="仿宋_GB2312" w:eastAsia="仿宋_GB2312"/>
              </w:rPr>
              <w:t>11、试剂盒自带质控品必需为人源全血制备</w:t>
            </w:r>
          </w:p>
          <w:p>
            <w:pPr>
              <w:pStyle w:val="null3"/>
              <w:ind w:left="600"/>
            </w:pPr>
            <w:r>
              <w:rPr>
                <w:rFonts w:ascii="仿宋_GB2312" w:hAnsi="仿宋_GB2312" w:cs="仿宋_GB2312" w:eastAsia="仿宋_GB2312"/>
              </w:rPr>
              <w:t>12、NMPA批准备案的试剂说明书中必须注明质控品所含分析物，分析物种类≥26种；</w:t>
            </w:r>
          </w:p>
          <w:p>
            <w:pPr>
              <w:pStyle w:val="null3"/>
              <w:ind w:left="600"/>
            </w:pPr>
            <w:r>
              <w:rPr>
                <w:rFonts w:ascii="仿宋_GB2312" w:hAnsi="仿宋_GB2312" w:cs="仿宋_GB2312" w:eastAsia="仿宋_GB2312"/>
              </w:rPr>
              <w:t>13、用萃取液按说明书比例稀释后的内标工作液可稳定≥24小时；</w:t>
            </w:r>
          </w:p>
          <w:p>
            <w:pPr>
              <w:pStyle w:val="null3"/>
              <w:ind w:left="600"/>
            </w:pPr>
            <w:r>
              <w:rPr>
                <w:rFonts w:ascii="仿宋_GB2312" w:hAnsi="仿宋_GB2312" w:cs="仿宋_GB2312" w:eastAsia="仿宋_GB2312"/>
              </w:rPr>
              <w:t>14、NMPA批准备案的试剂说明书中必须注明试剂各指标及相关指标比值的参考值或参考范围；</w:t>
            </w:r>
          </w:p>
          <w:p>
            <w:pPr>
              <w:pStyle w:val="null3"/>
              <w:ind w:left="600"/>
            </w:pPr>
            <w:r>
              <w:rPr>
                <w:rFonts w:ascii="仿宋_GB2312" w:hAnsi="仿宋_GB2312" w:cs="仿宋_GB2312" w:eastAsia="仿宋_GB2312"/>
              </w:rPr>
              <w:t>15、NMPA批准备案的试剂说明书中必须列表提供实验室现用的串联质谱设备系统各分析物的回收率数值；</w:t>
            </w:r>
          </w:p>
          <w:p>
            <w:pPr>
              <w:pStyle w:val="null3"/>
              <w:ind w:left="600"/>
            </w:pPr>
            <w:r>
              <w:rPr>
                <w:rFonts w:ascii="仿宋_GB2312" w:hAnsi="仿宋_GB2312" w:cs="仿宋_GB2312" w:eastAsia="仿宋_GB2312"/>
              </w:rPr>
              <w:t>16、NMPA批准备案的试剂说明书中必须列表提供实验室现用的串联质谱设备系统线性回归系数；</w:t>
            </w:r>
          </w:p>
          <w:p>
            <w:pPr>
              <w:pStyle w:val="null3"/>
              <w:ind w:left="600"/>
            </w:pPr>
            <w:r>
              <w:rPr>
                <w:rFonts w:ascii="仿宋_GB2312" w:hAnsi="仿宋_GB2312" w:cs="仿宋_GB2312" w:eastAsia="仿宋_GB2312"/>
              </w:rPr>
              <w:t>17、NMPA批准备案的试剂说明书中必须列表提供验室现用的串联质谱设备系统灵敏度数值；</w:t>
            </w:r>
          </w:p>
          <w:p>
            <w:pPr>
              <w:pStyle w:val="null3"/>
              <w:ind w:left="600"/>
            </w:pPr>
            <w:r>
              <w:rPr>
                <w:rFonts w:ascii="仿宋_GB2312" w:hAnsi="仿宋_GB2312" w:cs="仿宋_GB2312" w:eastAsia="仿宋_GB2312"/>
              </w:rPr>
              <w:t>18、NMPA批准备案的试剂说明书中必须注明试剂的抗干扰性，提供潜在干扰物名称并同时提供验证浓度的干扰物种类≥11种；</w:t>
            </w:r>
          </w:p>
          <w:p>
            <w:pPr>
              <w:pStyle w:val="null3"/>
              <w:ind w:left="600"/>
            </w:pPr>
            <w:r>
              <w:rPr>
                <w:rFonts w:ascii="仿宋_GB2312" w:hAnsi="仿宋_GB2312" w:cs="仿宋_GB2312" w:eastAsia="仿宋_GB2312"/>
              </w:rPr>
              <w:t>19、NMPA批注备案的试剂说明书必须展示试剂盒完成了临床评价；</w:t>
            </w:r>
          </w:p>
          <w:p>
            <w:pPr>
              <w:pStyle w:val="null3"/>
              <w:ind w:left="600"/>
            </w:pPr>
            <w:r>
              <w:rPr>
                <w:rFonts w:ascii="仿宋_GB2312" w:hAnsi="仿宋_GB2312" w:cs="仿宋_GB2312" w:eastAsia="仿宋_GB2312"/>
              </w:rPr>
              <w:t>20、能够提供功能完善的新筛信息系统和针对串联新筛项目的多截断值智能判读功能。新筛信息系统和多截断值智能判读功能需分别获得我国计算机软件著作权登记证书；</w:t>
            </w:r>
          </w:p>
          <w:p>
            <w:pPr>
              <w:pStyle w:val="null3"/>
              <w:ind w:left="600"/>
            </w:pPr>
            <w:r>
              <w:rPr>
                <w:rFonts w:ascii="仿宋_GB2312" w:hAnsi="仿宋_GB2312" w:cs="仿宋_GB2312" w:eastAsia="仿宋_GB2312"/>
              </w:rPr>
              <w:t>21、能够提供全套串联质谱产品售后服务，包括临床医生进修协助、实验室设计和验收、产品培训和操作协助、年度数据分析报告等；</w:t>
            </w:r>
          </w:p>
          <w:p>
            <w:pPr>
              <w:pStyle w:val="null3"/>
              <w:ind w:left="600"/>
            </w:pPr>
            <w:r>
              <w:rPr>
                <w:rFonts w:ascii="仿宋_GB2312" w:hAnsi="仿宋_GB2312" w:cs="仿宋_GB2312" w:eastAsia="仿宋_GB2312"/>
              </w:rPr>
              <w:t>22、提供实验人员理论和操作培训，帮助建立和开发实验检测方法，帮助制定实验室检测标准化操作规程；</w:t>
            </w:r>
          </w:p>
          <w:p>
            <w:pPr>
              <w:pStyle w:val="null3"/>
              <w:ind w:left="600"/>
            </w:pPr>
            <w:r>
              <w:rPr>
                <w:rFonts w:ascii="仿宋_GB2312" w:hAnsi="仿宋_GB2312" w:cs="仿宋_GB2312" w:eastAsia="仿宋_GB2312"/>
              </w:rPr>
              <w:t>23、通过参考相关临床数据，结合本实验室情况，初步设定本实验室截断值标准，并协助后期本地实验室截断值的修正；</w:t>
            </w:r>
          </w:p>
          <w:p>
            <w:pPr>
              <w:pStyle w:val="null3"/>
              <w:ind w:left="600"/>
            </w:pPr>
            <w:r>
              <w:rPr>
                <w:rFonts w:ascii="仿宋_GB2312" w:hAnsi="仿宋_GB2312" w:cs="仿宋_GB2312" w:eastAsia="仿宋_GB2312"/>
              </w:rPr>
              <w:t>24、提供完善的筛查阳性标本的遗传代谢病诊断服务和解决方案，包括血斑氨基酸分析、尿有机酸分析、二代测序分析、Sanger测序分析等诊断技术能力；</w:t>
            </w:r>
          </w:p>
          <w:p>
            <w:pPr>
              <w:pStyle w:val="null3"/>
              <w:ind w:left="600"/>
            </w:pPr>
            <w:r>
              <w:rPr>
                <w:rFonts w:ascii="仿宋_GB2312" w:hAnsi="仿宋_GB2312" w:cs="仿宋_GB2312" w:eastAsia="仿宋_GB2312"/>
              </w:rPr>
              <w:t>25、针对高发的甲基丙二酸血症，能够提供针对甲基丙二酸血症二阶筛查试剂盒和基于串联质谱平台的辅助诊断方案，从而进一步提升筛查阳性预测值，提供相关试剂盒说明书等佐证材料；</w:t>
            </w:r>
          </w:p>
          <w:p>
            <w:pPr>
              <w:pStyle w:val="null3"/>
              <w:ind w:left="600"/>
            </w:pPr>
            <w:r>
              <w:rPr>
                <w:rFonts w:ascii="仿宋_GB2312" w:hAnsi="仿宋_GB2312" w:cs="仿宋_GB2312" w:eastAsia="仿宋_GB2312"/>
              </w:rPr>
              <w:t>26、能够提供有NMPA三类注册认证的氨基酸、肉碱多项质控品，用于我实验室新生儿多种遗传代谢病串联质谱筛查项目质量控制。</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采购人根据实际需求用量，要求供应商提供相应货款发票，采购人再据实结算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1、甲方必须在乙方提出书面验收申请之日起 7个工作日内，组织验收工作。验收由甲方指定单位及人员进行验收，验收合格后出具书面验收合格证明，作为对产品的最终认可。 2、验收依据：单证齐全，应有产品合格证、质量证明、使用说明、保修保质证明、发票和其他应当具有的单证，并符合国家法律、法规对该产品规定的国家标准的要求。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商务要求：一、采购清单： 拟采购串联质谱设备专用试剂耗材6盒，每盒960人份，共计5760人份； 二、交货期： 合同签订后30日历天； 三、质保期： ≥12个月；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具有独立承担民事责任能力的法人、其他组织或自然人，并出具合法有效的营业执照或事业单位法人证书等国家规定的相关证明，自然人参与的提供其身份证明。（提供加盖投标供应商公章的营业执照扫描件）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参加投标须提供《法定代表人身份证明》及身份证扫描件；法定代表人授权他人参加投标，须提供《法定代表人授权委托书》、委托代理人身份证扫描件；（提供加盖投标供应商公章的法定代表人身份证明原件和其身份证扫描件或法定代表人授权委托书原件及被授权人身份证扫描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资格要求</w:t>
            </w:r>
          </w:p>
        </w:tc>
        <w:tc>
          <w:tcPr>
            <w:tcW w:type="dxa" w:w="3322"/>
          </w:tcPr>
          <w:p>
            <w:pPr>
              <w:pStyle w:val="null3"/>
            </w:pPr>
            <w:r>
              <w:rPr>
                <w:rFonts w:ascii="仿宋_GB2312" w:hAnsi="仿宋_GB2312" w:cs="仿宋_GB2312" w:eastAsia="仿宋_GB2312"/>
              </w:rPr>
              <w:t>投标人为代理商的，须提供《医疗器械经营许可证》或《医疗器械经营备案凭证》，及所投医疗器械产品在有效期内的《医疗器械注册证》或《医疗器械产品备案凭证》； 投标人为制造商的，须提供《医疗器械生产许可证》或《医疗器械生产企业登记表》，及所投医疗器械产品在有效期内的《医疗器械注册证》或《医疗器械产品备案凭证》； 所投产品不属于医疗器械的须提供相应的书面声明材料（格式自拟）</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产品技术参数表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产品参数</w:t>
            </w:r>
          </w:p>
        </w:tc>
        <w:tc>
          <w:tcPr>
            <w:tcW w:type="dxa" w:w="2492"/>
          </w:tcPr>
          <w:p>
            <w:pPr>
              <w:pStyle w:val="null3"/>
            </w:pPr>
            <w:r>
              <w:rPr>
                <w:rFonts w:ascii="仿宋_GB2312" w:hAnsi="仿宋_GB2312" w:cs="仿宋_GB2312" w:eastAsia="仿宋_GB2312"/>
              </w:rPr>
              <w:t>投标产品的产品参数评审：完全响应得26分。技术指标参数一项不满足扣1分，扣完为止。 评审依据：按照技术参数要求提供相应的证明文件（包括不限于检测报告、技术白皮书、厂家产品说明等）。</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提供所投产品（串联质谱设备专用试剂耗材）合法来源渠道证明文件（包括但不限于产品制造商授权、销售协议、代理协议等），共计2分。 提供证明文件扫描件或复印件，并加盖投标人公章，不提供不计分。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提供2022年1月1日以来类似项目的业绩，每个2分，满分6分。注：近3年(2022年1月1日以来)，以合同签订时间为准的业绩，需提供合同复印件、并加盖供应商企业公章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近年年类似业绩一览表.docx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投标人针对本项目制定实施方案，内容包含:①拟派人员配置及岗位职责情况；②项目进度计划及安排；③备货、供货、运输及应急保障措施；④安装、调试实施方案； 二、赋分标准： 1、完整性：方案内容完整全面，对上述各项内容均有描述及说明，得4分；每缺1项，扣1分； 2、针对性：针对性强，得4分；针对性一般，得2分；缺乏针对性，不得分； 3、可实施性：可实施性强，得4分；可实施性一般，得2分；缺乏可实施性，不得分。 4、不提供方案的，不得分。 三、评分标准： 1、针对性： （1）针对性强：方案能够完全切合本项目实际情况。 （2）针对性一般：方案中多数内容能够切合本项目实际情况，但存在至少一处不适用本项目实际的内容。 （3）缺乏针对性：方案描述不符合本项目采购情况，存在明显套用其他项目方案的内容。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拟投入本项目人员配置情况表.docx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投标人针对本项目制定质量保证方案，内容包含：①质量保证体系及目标；②质量保证措施及承诺。 二、赋分标准： 1、完整性：方案内容完整全面，对上述内容均有描述及说明，得2分；每缺1项，扣1分； 2、针对性：针对性强，得3分；针对性一般，得1.5分；缺乏针对性，不得分。 3、可实施性：可实施性强，得3分；可实施性一般，得1.5分；缺乏可实施性，不得分。 4、不提供方案的，不得分。 三、评分标准： 1、针对性： （1）针对性强：方案能够完全切合本项目实际情况。 （2）针对性一般：方案中多数内容能够切合本项目实际情况，但存在至少一处不适用本项目实际的内容。 （3）缺乏针对性：方案描述不符合本项目采购情况，存在明显套用其他项目方案的内容。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投标人针对本项目制定售后服务方案，内容包含：①售后服务网点及售后服务人员安排；②售后服务质量保证措施及服务承诺等内容： 二、赋分标准： 1、完整性：方案内容完整全面，对上述内容均有描述及说明，得2分；每缺1项，扣1分； 2、针对性：针对性强，得3分；针对性一般，得1.5分；缺乏针对性，不得分； 3、可实施性：可实施性强，得3分；可实施性一般，得1.5分；缺乏可实施性，不得分。 4、不提供方案不得分。 三、评分标准： 1、针对性： （1）针对性强：方案能够完全切合本项目实际情况。 （2）针对性一般：方案中多数内容能够切合本项目实际情况，但存在至少一处不适用本项目实际的内容。 （3）缺乏针对性：方案描述不符合本项目采购情况，存在明显套用其他项目方案的内容。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拟投入本项目人员配置情况表.docx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投标人针对本项目制定培训方案，内容包含①培训内容；②培训时间地点及人员安排等。 二、赋分标准： 1、完整性：方案内容完整全面，对上述内容均有描述及说明，得2分；每缺1项，扣1分； 2、针对性：针对性强，得3分；针对性一般，得1.5分；缺乏针对性，不得分； 3、可实施性：可实施性强，得3分；可实施性一般，得1.5分；缺乏可实施性，不得分。 4、不提供方案的，不得分。 三、评分标准： 1、针对性： （1）针对性强：方案能够完全切合本项目实际情况。 （2）针对性一般：方案中多数内容能够切合本项目实际情况，但存在至少一处不适用本项目实际的内容。 （3）缺乏针对性：方案描述不符合本项目采购情况，存在明显套用其他项目方案的内容。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拟投入本项目人员配置情况表.docx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以满足竞争性磋商文件要求的有效供应商最低投标价格为评标基准价。其他投标供应商的价格分统一按照下列公式计算：投标报价得分=(评标基准价／投标报价)×价格权值（30%）×100（四舍五入后保留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详见附件：近年年类似业绩一览表.docx</w:t>
      </w:r>
    </w:p>
    <w:p>
      <w:pPr>
        <w:pStyle w:val="null3"/>
        <w:ind w:firstLine="960"/>
      </w:pPr>
      <w:r>
        <w:rPr>
          <w:rFonts w:ascii="仿宋_GB2312" w:hAnsi="仿宋_GB2312" w:cs="仿宋_GB2312" w:eastAsia="仿宋_GB2312"/>
        </w:rPr>
        <w:t>详见附件：拟投入本项目人员配置情况表.docx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