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版本号：SCZA2025-CS-2043-00120250801001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调度系统升级项目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SCZA2025-CS-2043-001</w:t>
      </w:r>
      <w:r>
        <w:br/>
      </w:r>
      <w:r>
        <w:br/>
      </w:r>
      <w:r>
        <w:br/>
      </w:r>
    </w:p>
    <w:p>
      <w:pPr>
        <w:pStyle w:val="null3"/>
        <w:jc w:val="center"/>
        <w:outlineLvl w:val="2"/>
      </w:pPr>
      <w:r>
        <w:rPr>
          <w:rFonts w:ascii="仿宋_GB2312" w:hAnsi="仿宋_GB2312" w:cs="仿宋_GB2312" w:eastAsia="仿宋_GB2312"/>
          <w:sz w:val="28"/>
          <w:b/>
        </w:rPr>
        <w:t>汉中市120急救指挥中心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汉中市120急救指挥中心</w:t>
      </w:r>
      <w:r>
        <w:rPr>
          <w:rFonts w:ascii="仿宋_GB2312" w:hAnsi="仿宋_GB2312" w:cs="仿宋_GB2312" w:eastAsia="仿宋_GB2312"/>
        </w:rPr>
        <w:t>委托，拟对</w:t>
      </w:r>
      <w:r>
        <w:rPr>
          <w:rFonts w:ascii="仿宋_GB2312" w:hAnsi="仿宋_GB2312" w:cs="仿宋_GB2312" w:eastAsia="仿宋_GB2312"/>
        </w:rPr>
        <w:t>调度系统升级项目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SCZA2025-CS-2043-001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调度系统升级项目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拟对调度系统升级、满足市120急救指挥中心非急救转运需求。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采购包1（调度系统升级项目）：属于专门面向中小企业采购。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汉中市120急救指挥中心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汉中市汉台区益汉路23号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18729642255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代理服务费收费标准：代理服务费参照《国家计委关于印发&lt;招标代理服务收费管理暂行办法&gt;的通知》（计价格〔2002〕1980号）规定标准（按标段）收取，不足6000按6000收取。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汉中市120急救指挥中心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汉中市120急救指挥中心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汉中市120急救指挥中心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达到国家标准、磋商文件要求并实现与现有汉中市120急救中心调度系统业务数据的无缝对接。</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拟对调度系统升级、满足市120急救指挥中心非急救转运需求。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202"/>
              <w:gridCol w:w="314"/>
              <w:gridCol w:w="1842"/>
              <w:gridCol w:w="185"/>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系统名称</w:t>
                  </w:r>
                </w:p>
              </w:tc>
              <w:tc>
                <w:tcPr>
                  <w:tcW w:type="dxa" w:w="1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参数配置</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非急救转运系统</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（一）核心管理功能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可对接第三方平台</w:t>
                  </w:r>
                  <w:r>
                    <w:rPr>
                      <w:rFonts w:ascii="仿宋_GB2312" w:hAnsi="仿宋_GB2312" w:cs="仿宋_GB2312" w:eastAsia="仿宋_GB2312"/>
                      <w:sz w:val="21"/>
                    </w:rPr>
                    <w:t>（</w:t>
                  </w:r>
                  <w:r>
                    <w:rPr>
                      <w:rFonts w:ascii="仿宋_GB2312" w:hAnsi="仿宋_GB2312" w:cs="仿宋_GB2312" w:eastAsia="仿宋_GB2312"/>
                      <w:sz w:val="21"/>
                    </w:rPr>
                    <w:t>包括不限于微信小程序</w:t>
                  </w:r>
                  <w:r>
                    <w:rPr>
                      <w:rFonts w:ascii="仿宋_GB2312" w:hAnsi="仿宋_GB2312" w:cs="仿宋_GB2312" w:eastAsia="仿宋_GB2312"/>
                      <w:sz w:val="21"/>
                    </w:rPr>
                    <w:t>）</w:t>
                  </w:r>
                  <w:r>
                    <w:rPr>
                      <w:rFonts w:ascii="仿宋_GB2312" w:hAnsi="仿宋_GB2312" w:cs="仿宋_GB2312" w:eastAsia="仿宋_GB2312"/>
                      <w:sz w:val="21"/>
                    </w:rPr>
                    <w:t>接收非急救转运预约信息，可实现对非急救转运任务的全生命周期管理，涵盖任务创建、分配、改派、取消、完成等全流程操作。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集中展示全部非急救转运任务信息，支持任务状态分类展示与过滤（待处理、已确认、任务中、已完成），并可按患者信息、地址等条件查询任务。同时，可基于地图查看转运任务详细信息，且支持修改任务信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实时统计车辆总数、当班车辆数及当天预约任务数，提供任务提醒与状态同步反馈。</w:t>
                  </w:r>
                </w:p>
                <w:p>
                  <w:pPr>
                    <w:pStyle w:val="null3"/>
                    <w:jc w:val="both"/>
                  </w:pPr>
                  <w:r>
                    <w:rPr>
                      <w:rFonts w:ascii="仿宋_GB2312" w:hAnsi="仿宋_GB2312" w:cs="仿宋_GB2312" w:eastAsia="仿宋_GB2312"/>
                      <w:sz w:val="21"/>
                    </w:rPr>
                    <w:t>（二）智能调度功能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具备智能模式切换能力，开启后可自动为待分配任务匹配转运医院。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支持直接分配任务和二调派车（即将任务分配至下属机构）两种调度模式，同步展示派车反馈与任务状态变更。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基于地图实现路线规划、车辆定位及资源调度，支持多种导航模式选择与行驶距离、时间预估。</w:t>
                  </w:r>
                </w:p>
                <w:p>
                  <w:pPr>
                    <w:pStyle w:val="null3"/>
                    <w:jc w:val="both"/>
                  </w:pPr>
                  <w:r>
                    <w:rPr>
                      <w:rFonts w:ascii="仿宋_GB2312" w:hAnsi="仿宋_GB2312" w:cs="仿宋_GB2312" w:eastAsia="仿宋_GB2312"/>
                      <w:sz w:val="21"/>
                    </w:rPr>
                    <w:t>（三）数据监管与追溯</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地图监管页面实时展示转运任务与车辆信息，统计任务中事件数、转运医院及车辆数。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历史事件模块支持按时间、患者信息等条件查询历史转运记录，追溯任务详情与收费情况。</w:t>
                  </w:r>
                </w:p>
                <w:p>
                  <w:pPr>
                    <w:pStyle w:val="null3"/>
                    <w:jc w:val="both"/>
                  </w:pPr>
                  <w:r>
                    <w:rPr>
                      <w:rFonts w:ascii="仿宋_GB2312" w:hAnsi="仿宋_GB2312" w:cs="仿宋_GB2312" w:eastAsia="仿宋_GB2312"/>
                      <w:sz w:val="21"/>
                    </w:rPr>
                    <w:t>（四）用户管理与系统设置</w:t>
                  </w:r>
                </w:p>
                <w:p>
                  <w:pPr>
                    <w:pStyle w:val="null3"/>
                    <w:jc w:val="both"/>
                  </w:pPr>
                  <w:r>
                    <w:rPr>
                      <w:rFonts w:ascii="仿宋_GB2312" w:hAnsi="仿宋_GB2312" w:cs="仿宋_GB2312" w:eastAsia="仿宋_GB2312"/>
                      <w:sz w:val="21"/>
                    </w:rPr>
                    <w:t>菜单栏支持页面跳转、智能模式管理、消息通知、用户信息显示及退出系统等功能。提供密码修改功能，确保系统操作安全。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）转运地图</w:t>
                  </w:r>
                </w:p>
                <w:p>
                  <w:pPr>
                    <w:pStyle w:val="null3"/>
                    <w:jc w:val="both"/>
                  </w:pPr>
                  <w:r>
                    <w:rPr>
                      <w:rFonts w:ascii="仿宋_GB2312" w:hAnsi="仿宋_GB2312" w:cs="仿宋_GB2312" w:eastAsia="仿宋_GB2312"/>
                      <w:sz w:val="21"/>
                    </w:rPr>
                    <w:t>1.查看所有车辆位置、状态、行驶轨迹</w:t>
                  </w:r>
                </w:p>
                <w:p>
                  <w:pPr>
                    <w:pStyle w:val="null3"/>
                    <w:jc w:val="both"/>
                  </w:pPr>
                  <w:r>
                    <w:rPr>
                      <w:rFonts w:ascii="仿宋_GB2312" w:hAnsi="仿宋_GB2312" w:cs="仿宋_GB2312" w:eastAsia="仿宋_GB2312"/>
                      <w:sz w:val="21"/>
                    </w:rPr>
                    <w:t>2.查看所有进行中的事件信息</w:t>
                  </w:r>
                </w:p>
                <w:p>
                  <w:pPr>
                    <w:pStyle w:val="null3"/>
                    <w:jc w:val="both"/>
                  </w:pPr>
                  <w:r>
                    <w:rPr>
                      <w:rFonts w:ascii="仿宋_GB2312" w:hAnsi="仿宋_GB2312" w:cs="仿宋_GB2312" w:eastAsia="仿宋_GB2312"/>
                      <w:sz w:val="21"/>
                    </w:rPr>
                    <w:t>3.查看实时路况</w:t>
                  </w:r>
                </w:p>
                <w:p>
                  <w:pPr>
                    <w:pStyle w:val="null3"/>
                    <w:jc w:val="both"/>
                  </w:pPr>
                  <w:r>
                    <w:rPr>
                      <w:rFonts w:ascii="仿宋_GB2312" w:hAnsi="仿宋_GB2312" w:cs="仿宋_GB2312" w:eastAsia="仿宋_GB2312"/>
                      <w:sz w:val="21"/>
                    </w:rPr>
                    <w:t>4.同步刷新事件、车辆状态及定位数据，提供手动刷新功能。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）事件管理</w:t>
                  </w:r>
                </w:p>
                <w:p>
                  <w:pPr>
                    <w:pStyle w:val="null3"/>
                    <w:jc w:val="both"/>
                  </w:pPr>
                  <w:r>
                    <w:rPr>
                      <w:rFonts w:ascii="仿宋_GB2312" w:hAnsi="仿宋_GB2312" w:cs="仿宋_GB2312" w:eastAsia="仿宋_GB2312"/>
                      <w:sz w:val="21"/>
                    </w:rPr>
                    <w:t>1.撤销待派事件，需选择撤销原因，如价格原因、病家退车、联系不上患者、无车可</w:t>
                  </w:r>
                  <w:r>
                    <w:rPr>
                      <w:rFonts w:ascii="仿宋_GB2312" w:hAnsi="仿宋_GB2312" w:cs="仿宋_GB2312" w:eastAsia="仿宋_GB2312"/>
                      <w:sz w:val="21"/>
                    </w:rPr>
                    <w:t>派</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2.唤醒待派即进入受理，对待派事件进行派车或修改信息等；</w:t>
                  </w:r>
                </w:p>
                <w:p>
                  <w:pPr>
                    <w:pStyle w:val="null3"/>
                    <w:jc w:val="both"/>
                  </w:pPr>
                  <w:r>
                    <w:rPr>
                      <w:rFonts w:ascii="仿宋_GB2312" w:hAnsi="仿宋_GB2312" w:cs="仿宋_GB2312" w:eastAsia="仿宋_GB2312"/>
                      <w:sz w:val="21"/>
                    </w:rPr>
                    <w:t>3.改派任务中的事件，将任务中的事件改派给其它车辆，需选择改派原因，如医院、车辆、用户或其它原因；</w:t>
                  </w:r>
                </w:p>
                <w:p>
                  <w:pPr>
                    <w:pStyle w:val="null3"/>
                    <w:jc w:val="both"/>
                  </w:pPr>
                  <w:r>
                    <w:rPr>
                      <w:rFonts w:ascii="仿宋_GB2312" w:hAnsi="仿宋_GB2312" w:cs="仿宋_GB2312" w:eastAsia="仿宋_GB2312"/>
                      <w:sz w:val="21"/>
                    </w:rPr>
                    <w:t>4.中止任务中的事件，需选择中止原因，如另有任务、病家要求、未见病人等；</w:t>
                  </w:r>
                </w:p>
                <w:p>
                  <w:pPr>
                    <w:pStyle w:val="null3"/>
                    <w:jc w:val="both"/>
                  </w:pPr>
                  <w:r>
                    <w:rPr>
                      <w:rFonts w:ascii="仿宋_GB2312" w:hAnsi="仿宋_GB2312" w:cs="仿宋_GB2312" w:eastAsia="仿宋_GB2312"/>
                      <w:sz w:val="21"/>
                    </w:rPr>
                    <w:t>5.修改任务中的事件信息并补发给车载；</w:t>
                  </w:r>
                </w:p>
                <w:p>
                  <w:pPr>
                    <w:pStyle w:val="null3"/>
                    <w:jc w:val="both"/>
                  </w:pPr>
                  <w:r>
                    <w:rPr>
                      <w:rFonts w:ascii="仿宋_GB2312" w:hAnsi="仿宋_GB2312" w:cs="仿宋_GB2312" w:eastAsia="仿宋_GB2312"/>
                      <w:sz w:val="21"/>
                    </w:rPr>
                    <w:t>6.将任务中的事件退回，更改为预约。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授权：含有</w:t>
                  </w:r>
                  <w:r>
                    <w:rPr>
                      <w:rFonts w:ascii="仿宋_GB2312" w:hAnsi="仿宋_GB2312" w:cs="仿宋_GB2312" w:eastAsia="仿宋_GB2312"/>
                      <w:sz w:val="21"/>
                    </w:rPr>
                    <w:t>四</w:t>
                  </w:r>
                  <w:r>
                    <w:rPr>
                      <w:rFonts w:ascii="仿宋_GB2312" w:hAnsi="仿宋_GB2312" w:cs="仿宋_GB2312" w:eastAsia="仿宋_GB2312"/>
                      <w:sz w:val="21"/>
                    </w:rPr>
                    <w:t>个</w:t>
                  </w:r>
                  <w:r>
                    <w:rPr>
                      <w:rFonts w:ascii="仿宋_GB2312" w:hAnsi="仿宋_GB2312" w:cs="仿宋_GB2312" w:eastAsia="仿宋_GB2312"/>
                      <w:sz w:val="21"/>
                    </w:rPr>
                    <w:t>调度台</w:t>
                  </w:r>
                  <w:r>
                    <w:rPr>
                      <w:rFonts w:ascii="仿宋_GB2312" w:hAnsi="仿宋_GB2312" w:cs="仿宋_GB2312" w:eastAsia="仿宋_GB2312"/>
                      <w:sz w:val="21"/>
                    </w:rPr>
                    <w:t>授权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软件具有计算机软件著作权登记证书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实现与现有</w:t>
                  </w:r>
                  <w:r>
                    <w:rPr>
                      <w:rFonts w:ascii="仿宋_GB2312" w:hAnsi="仿宋_GB2312" w:cs="仿宋_GB2312" w:eastAsia="仿宋_GB2312"/>
                      <w:sz w:val="21"/>
                    </w:rPr>
                    <w:t>汉中</w:t>
                  </w:r>
                  <w:r>
                    <w:rPr>
                      <w:rFonts w:ascii="仿宋_GB2312" w:hAnsi="仿宋_GB2312" w:cs="仿宋_GB2312" w:eastAsia="仿宋_GB2312"/>
                      <w:sz w:val="21"/>
                    </w:rPr>
                    <w:t>市</w:t>
                  </w:r>
                  <w:r>
                    <w:rPr>
                      <w:rFonts w:ascii="仿宋_GB2312" w:hAnsi="仿宋_GB2312" w:cs="仿宋_GB2312" w:eastAsia="仿宋_GB2312"/>
                      <w:sz w:val="21"/>
                    </w:rPr>
                    <w:t>120</w:t>
                  </w:r>
                  <w:r>
                    <w:rPr>
                      <w:rFonts w:ascii="仿宋_GB2312" w:hAnsi="仿宋_GB2312" w:cs="仿宋_GB2312" w:eastAsia="仿宋_GB2312"/>
                      <w:sz w:val="21"/>
                    </w:rPr>
                    <w:t>急救中心调度系统业务数据的无缝对接</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w:t>
                  </w:r>
                  <w:r>
                    <w:rPr>
                      <w:rFonts w:ascii="仿宋_GB2312" w:hAnsi="仿宋_GB2312" w:cs="仿宋_GB2312" w:eastAsia="仿宋_GB2312"/>
                      <w:sz w:val="21"/>
                    </w:rPr>
                    <w:t>维护系统</w:t>
                  </w:r>
                  <w:r>
                    <w:rPr>
                      <w:rFonts w:ascii="仿宋_GB2312" w:hAnsi="仿宋_GB2312" w:cs="仿宋_GB2312" w:eastAsia="仿宋_GB2312"/>
                      <w:sz w:val="21"/>
                    </w:rPr>
                    <w:t>软件</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（一）基础数据管理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人员管理：实现调度员、司机等角色的数字化档案管理，支持人员信息增删改查、角色分配与权限设置。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角色管理：配置不同用户操作权限，支持角色信息维护与权限分配。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车辆管理：覆盖车辆全生命周期管理，包括状态监控、设备维护、实时定位同步及信息增删改查。</w:t>
                  </w:r>
                </w:p>
                <w:p>
                  <w:pPr>
                    <w:pStyle w:val="null3"/>
                    <w:jc w:val="both"/>
                  </w:pPr>
                  <w:r>
                    <w:rPr>
                      <w:rFonts w:ascii="仿宋_GB2312" w:hAnsi="仿宋_GB2312" w:cs="仿宋_GB2312" w:eastAsia="仿宋_GB2312"/>
                      <w:sz w:val="21"/>
                    </w:rPr>
                    <w:t>（二）机构与措施管理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机构管理：维护转运中心、医院等机构信息，支持机构信息查询与禁用操作。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措施管理：管理转运过程中救治措施信息，支持措施分类、查询与禁用。</w:t>
                  </w:r>
                </w:p>
                <w:p>
                  <w:pPr>
                    <w:pStyle w:val="null3"/>
                    <w:jc w:val="both"/>
                  </w:pPr>
                  <w:r>
                    <w:rPr>
                      <w:rFonts w:ascii="仿宋_GB2312" w:hAnsi="仿宋_GB2312" w:cs="仿宋_GB2312" w:eastAsia="仿宋_GB2312"/>
                      <w:sz w:val="21"/>
                    </w:rPr>
                    <w:t>（三）字典数据维护</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车辆字典：维护车辆分组、等级、类型、状态等字典数据。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派车操作字典：管理任务异常原因、拒绝预约原因等派车相关字典数据。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车载设置与字典管理：维护车载终端参数、外拨权限等设置及系统通用字典数据。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车载对接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对现有中心城区已安装车载系统进行改造，支持车载数据分别上传至</w:t>
                  </w:r>
                  <w:r>
                    <w:rPr>
                      <w:rFonts w:ascii="仿宋_GB2312" w:hAnsi="仿宋_GB2312" w:cs="仿宋_GB2312" w:eastAsia="仿宋_GB2312"/>
                      <w:sz w:val="21"/>
                    </w:rPr>
                    <w:t>120</w:t>
                  </w:r>
                  <w:r>
                    <w:rPr>
                      <w:rFonts w:ascii="仿宋_GB2312" w:hAnsi="仿宋_GB2312" w:cs="仿宋_GB2312" w:eastAsia="仿宋_GB2312"/>
                      <w:sz w:val="21"/>
                    </w:rPr>
                    <w:t>调度系统和非急救系统，避免重复建设。</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系统需兼容现有汉中市</w:t>
                  </w:r>
                  <w:r>
                    <w:rPr>
                      <w:rFonts w:ascii="仿宋_GB2312" w:hAnsi="仿宋_GB2312" w:cs="仿宋_GB2312" w:eastAsia="仿宋_GB2312"/>
                      <w:sz w:val="21"/>
                    </w:rPr>
                    <w:t>120</w:t>
                  </w:r>
                  <w:r>
                    <w:rPr>
                      <w:rFonts w:ascii="仿宋_GB2312" w:hAnsi="仿宋_GB2312" w:cs="仿宋_GB2312" w:eastAsia="仿宋_GB2312"/>
                      <w:sz w:val="21"/>
                    </w:rPr>
                    <w:t>急救指挥中心调度系统。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3.</w:t>
                  </w:r>
                  <w:r>
                    <w:rPr>
                      <w:rFonts w:ascii="仿宋_GB2312" w:hAnsi="仿宋_GB2312" w:cs="仿宋_GB2312" w:eastAsia="仿宋_GB2312"/>
                      <w:sz w:val="21"/>
                    </w:rPr>
                    <w:t>软件具有计算机软件著作权登记证书</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分站系统</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）任务管理</w:t>
                  </w:r>
                </w:p>
                <w:p>
                  <w:pPr>
                    <w:pStyle w:val="null3"/>
                    <w:jc w:val="both"/>
                  </w:pPr>
                  <w:r>
                    <w:rPr>
                      <w:rFonts w:ascii="仿宋_GB2312" w:hAnsi="仿宋_GB2312" w:cs="仿宋_GB2312" w:eastAsia="仿宋_GB2312"/>
                      <w:sz w:val="21"/>
                    </w:rPr>
                    <w:t>1.任务接收：自动接收非急救调度中心的任务，并及时提醒任务到达信息；</w:t>
                  </w:r>
                </w:p>
                <w:p>
                  <w:pPr>
                    <w:pStyle w:val="null3"/>
                    <w:jc w:val="both"/>
                  </w:pPr>
                  <w:r>
                    <w:rPr>
                      <w:rFonts w:ascii="仿宋_GB2312" w:hAnsi="仿宋_GB2312" w:cs="仿宋_GB2312" w:eastAsia="仿宋_GB2312"/>
                      <w:sz w:val="21"/>
                    </w:rPr>
                    <w:t>2.信息预警：收到转运单消息会有铃声以及弹窗通知，未处理转运单数量以高亮背景突出显示，系统在线或者离线以颜色进行区分；</w:t>
                  </w:r>
                </w:p>
                <w:p>
                  <w:pPr>
                    <w:pStyle w:val="null3"/>
                    <w:jc w:val="both"/>
                  </w:pPr>
                  <w:r>
                    <w:rPr>
                      <w:rFonts w:ascii="仿宋_GB2312" w:hAnsi="仿宋_GB2312" w:cs="仿宋_GB2312" w:eastAsia="仿宋_GB2312"/>
                      <w:sz w:val="21"/>
                    </w:rPr>
                    <w:t>3.可实现人员上下班和车辆状态点击；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系统需兼容现有汉中市</w:t>
                  </w:r>
                  <w:r>
                    <w:rPr>
                      <w:rFonts w:ascii="仿宋_GB2312" w:hAnsi="仿宋_GB2312" w:cs="仿宋_GB2312" w:eastAsia="仿宋_GB2312"/>
                      <w:sz w:val="21"/>
                    </w:rPr>
                    <w:t>120急救指挥中心调度系统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5.</w:t>
                  </w:r>
                  <w:r>
                    <w:rPr>
                      <w:rFonts w:ascii="仿宋_GB2312" w:hAnsi="仿宋_GB2312" w:cs="仿宋_GB2312" w:eastAsia="仿宋_GB2312"/>
                      <w:sz w:val="21"/>
                    </w:rPr>
                    <w:t>软件具有计算机软件著作权登记证书</w:t>
                  </w:r>
                  <w:r>
                    <w:rPr>
                      <w:rFonts w:ascii="仿宋_GB2312" w:hAnsi="仿宋_GB2312" w:cs="仿宋_GB2312" w:eastAsia="仿宋_GB2312"/>
                      <w:sz w:val="21"/>
                    </w:rPr>
                    <w:t>。</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符合磋商文件及合同要求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符合磋商文件及合同要求、系统需兼容现有汉中市120急救指挥中心调度系统。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合同签订后30个日历日内,免费安装调试完毕,达到交付使用标准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达到国家标准并实现与现有汉中市120急救中心调度系统业务数据的无缝对接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依据磋商文件和合同约定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供应商需在项目电子化交易系统中按要求填写《投标函》及汉中市政府采购供应商资格承诺函完成承诺并进行电子签章。</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供应商需在汉中市政府采购供应商资格承诺函完成承诺并进行电子签章。</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其他资格证明文件.docx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评标委员会将根据投标文件中对技术部分的应答，并结合投标人提供的佐证资料等，对技术部分进行综合评价。 所投产品技术参数清楚、明确并能逐条响应招标文件“技术参数表”中除★项外其他参数要求，得20分。 其中: 1、技术参数表中▲项，每项负偏离扣3分,扣完为止 2、其他未标项参数，每项负偏离扣1分，扣完为止。 ▲项参数须有佐证材料，否则不予认可。（佐证材料例如：国家认可的检测机构出具的检测报告、制造商检验报告、产品彩页、官网功能截图、宣传册、说明书等任意一种）。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一、根据供应商所提供的实施方案（包括但不限于建设方案、测试方案、验收方案、进度计划等方面）进行赋分； 二、评审标准 1、完整性：方案必须全面，对评审内容中的各项要求有详细描述； 2、可实施性：切合本项目实际情况，提出步骤清晰、合理的方案； 3、针对性：方案能够紧扣项目实际情况，内容科学合理。 三、赋分标准（满分12分） ①建设方案：每满足一个评审标准得1分，不满足得0分，满分3分； ②测试方案：每满足一个评审标准得1分，不满足得0分，满分3分； ③验收方案：每满足一个评审标准得1分，不满足得0分，满分3分； ④进度计划：每满足一个评审标准得1分，不满足得0分，满分3分；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运营维护方案</w:t>
            </w:r>
          </w:p>
        </w:tc>
        <w:tc>
          <w:tcPr>
            <w:tcW w:type="dxa" w:w="2492"/>
          </w:tcPr>
          <w:p>
            <w:pPr>
              <w:pStyle w:val="null3"/>
            </w:pPr>
            <w:r>
              <w:rPr>
                <w:rFonts w:ascii="仿宋_GB2312" w:hAnsi="仿宋_GB2312" w:cs="仿宋_GB2312" w:eastAsia="仿宋_GB2312"/>
              </w:rPr>
              <w:t>根据供应商所提供的运营维护方案（包括但不限于运维团队人员配置高效合理、岗位职责明确、有完整的项目进入到维护期后的详细计划、包括运维计划等）进行赋分； （1）运营方案 ①运营维护方案合理，可行性强的得5分； ②运营维护方案较合理，可行性较强的得3分； ③运营维护方案不合理，可行性一般的得1分； ④未提供或不满足不得分。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①人员配备完善、专业性强、经验丰富能够充分保障本项目的实施的得5分， ②人员配备基本完善、具备专业性、具备较丰富经验能够保障本项目的实施的得3分， ③人员配备不够完善、专业性差、经验一般能够充分保障本项目的实施的得1分， ④未提供或不满足不得分。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1、拟派项目负责人应为本单位在册员工，具备信息系统项目管理师（高级）得2分；未提供不得分； 2、拟派团队成员为本单位在册员工，其中具备PMP证书，提供一个得1分，未提供不得分；具备注册信息安全专业人员证书（CISP）提供一个得1分。最高2分。 以上人员提供2025年任意1个月社保缴纳证明，否则不得分。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团队组织架构</w:t>
            </w:r>
          </w:p>
        </w:tc>
        <w:tc>
          <w:tcPr>
            <w:tcW w:type="dxa" w:w="2492"/>
          </w:tcPr>
          <w:p>
            <w:pPr>
              <w:pStyle w:val="null3"/>
            </w:pPr>
            <w:r>
              <w:rPr>
                <w:rFonts w:ascii="仿宋_GB2312" w:hAnsi="仿宋_GB2312" w:cs="仿宋_GB2312" w:eastAsia="仿宋_GB2312"/>
              </w:rPr>
              <w:t>①团队组织架构及职能分工科学、合理、完整的得5分； ②团队组织架构及职能分工合理清晰得3分。 ③团队组织架构及职能分工不够合理清晰得1分。 ④未提供或不满足不得分。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一、根据供应商所提供的应急保障方案（包括但不限于系统故障预防、系统及网络故障处理措施、系统故障危险源分析、系统故障应急控制措施等）进行赋分： 二、评审标准 1、完整性：方案必须全面，对评审内容中的各项要求有详细描述； 2、可实施性：切合本项目实际情况，提出步骤清晰、合理的方案； 3、针对性：方案能够紧扣项目实际情况，内容科学合理。 三、赋分标准（满分12分） ①系统故障预防：每满足一个评审标准得1分，不满足得0分，满分3分； ②系统及网络故障处理措施：每满足一个评审标准得1分，不满足得0分，满分3分； ③系统故障危险源分析：每满足一个评审标准得1分，不满足得0分，满分3分； ④系统故障应急控制措施：每满足一个评审标准得1分，不满足得0分，满分3分；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一、供应商针对本项目提供详细售后服务方案，包括但不限于①售后服务范围及保障措施②售后服务流程③售后服务响应时间及响应方式；并按以下标准评审：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①售后服务范围及保障措施：每满足一个评审标准得1分，不满足得0分，满分3分； ②售后服务流程：每满足一个评审标准得1分，不满足得0分，满分3分； ③售后服务响应时间及响应方式：每满足一个评审标准得1分，不满足得0分，满分3分。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供应商提供2022年07月1日至今类似项目业绩：每提供一项得1分，最多得5分（以完整合同复印件为准，时间以合同签订时间为准，否则不得分）。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1、供应商具备ISO9001质量管理体系认证证书得1分； 2、供应商具备ISO20000 信息技术服务管理体系认证证书得1分； 3、供应商具备ISO27001 信息安全管理体系认证证书得1分； 注：应提供有效证书复印件并加盖单位公章。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