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版本号：SXHCYJ-2025ZB-01120250812001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“就业在汉中”精准就业服务平台及“秦云就业”汉中分台人才综合管理信息系统</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SXHCYJ-2025ZB-011</w:t>
      </w:r>
      <w:r>
        <w:br/>
      </w:r>
      <w:r>
        <w:br/>
      </w:r>
      <w:r>
        <w:br/>
      </w:r>
    </w:p>
    <w:p>
      <w:pPr>
        <w:pStyle w:val="null3"/>
        <w:jc w:val="center"/>
        <w:outlineLvl w:val="5"/>
      </w:pPr>
      <w:r>
        <w:rPr>
          <w:rFonts w:ascii="仿宋_GB2312" w:hAnsi="仿宋_GB2312" w:cs="仿宋_GB2312" w:eastAsia="仿宋_GB2312"/>
          <w:sz w:val="15"/>
          <w:b/>
        </w:rPr>
        <w:t>汉中市人力资源和社会保障局</w:t>
      </w:r>
    </w:p>
    <w:p>
      <w:pPr>
        <w:pStyle w:val="null3"/>
        <w:jc w:val="center"/>
        <w:outlineLvl w:val="5"/>
      </w:pPr>
      <w:r>
        <w:rPr>
          <w:rFonts w:ascii="仿宋_GB2312" w:hAnsi="仿宋_GB2312" w:cs="仿宋_GB2312" w:eastAsia="仿宋_GB2312"/>
          <w:sz w:val="15"/>
          <w:b/>
        </w:rPr>
        <w:t>陕西汉程云吉项目管理有限公司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陕西汉程云吉项目管理有限公司</w:t>
      </w:r>
      <w:r>
        <w:rPr>
          <w:rFonts w:ascii="仿宋_GB2312" w:hAnsi="仿宋_GB2312" w:cs="仿宋_GB2312" w:eastAsia="仿宋_GB2312"/>
        </w:rPr>
        <w:t>（以下简称“代理机构”）受</w:t>
      </w:r>
      <w:r>
        <w:rPr>
          <w:rFonts w:ascii="仿宋_GB2312" w:hAnsi="仿宋_GB2312" w:cs="仿宋_GB2312" w:eastAsia="仿宋_GB2312"/>
        </w:rPr>
        <w:t>汉中市人力资源和社会保障局</w:t>
      </w:r>
      <w:r>
        <w:rPr>
          <w:rFonts w:ascii="仿宋_GB2312" w:hAnsi="仿宋_GB2312" w:cs="仿宋_GB2312" w:eastAsia="仿宋_GB2312"/>
        </w:rPr>
        <w:t>委托，拟对</w:t>
      </w:r>
      <w:r>
        <w:rPr>
          <w:rFonts w:ascii="仿宋_GB2312" w:hAnsi="仿宋_GB2312" w:cs="仿宋_GB2312" w:eastAsia="仿宋_GB2312"/>
        </w:rPr>
        <w:t>“就业在汉中”精准就业服务平台及“秦云就业”汉中分台人才综合管理信息系统</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SXHCYJ-2025ZB-011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“就业在汉中”精准就业服务平台及“秦云就业”汉中分台人才综合管理信息系统</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在已建成“就业在汉中”精准就业服务平台及“秦云就业”汉中分台人才综合管理信息系统的基础上，进行二期建设，主要包括“就业在汉中”精准就业服务平台就业业务管理系统和事业单位公开招聘工作人员综合管理子系统。</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采购包1（就业在汉中”精准就业服务平台及“秦云就业”汉中分台人才综合管理信息系统）：属于专门面向中小企业采购。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明。</w:t>
      </w:r>
    </w:p>
    <w:p>
      <w:pPr>
        <w:pStyle w:val="null3"/>
      </w:pPr>
      <w:r>
        <w:rPr>
          <w:rFonts w:ascii="仿宋_GB2312" w:hAnsi="仿宋_GB2312" w:cs="仿宋_GB2312" w:eastAsia="仿宋_GB2312"/>
        </w:rPr>
        <w:t>2、法定代表人或单位负责人授权书：法定代表人或单位负责人授权书及被授权人身份证（法定代表人或单位负责人直接参加投标除外，但须出示法定代表人或单位负责人身份证复印件及营业执照复印件）</w:t>
      </w:r>
    </w:p>
    <w:p>
      <w:pPr>
        <w:pStyle w:val="null3"/>
      </w:pPr>
      <w:r>
        <w:rPr>
          <w:rFonts w:ascii="仿宋_GB2312" w:hAnsi="仿宋_GB2312" w:cs="仿宋_GB2312" w:eastAsia="仿宋_GB2312"/>
        </w:rPr>
        <w:t>3、信用截图：通过“信用中国”网站(www.credi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p>
      <w:pPr>
        <w:pStyle w:val="null3"/>
      </w:pPr>
      <w:r>
        <w:rPr>
          <w:rFonts w:ascii="仿宋_GB2312" w:hAnsi="仿宋_GB2312" w:cs="仿宋_GB2312" w:eastAsia="仿宋_GB2312"/>
        </w:rPr>
        <w:t>4、非控股关系：单位负责人为同一人或者存在直接控股、管理关系的不同供应商，不得参加同一合同项下的政府采购活动（注：本项目不接受联合体投标）</w:t>
      </w:r>
    </w:p>
    <w:p>
      <w:pPr>
        <w:pStyle w:val="null3"/>
      </w:pPr>
      <w:r>
        <w:rPr>
          <w:rFonts w:ascii="仿宋_GB2312" w:hAnsi="仿宋_GB2312" w:cs="仿宋_GB2312" w:eastAsia="仿宋_GB2312"/>
        </w:rPr>
        <w:t>5、供应商资格承诺函：健全的财务会计制度、履行合同所需的设备和专业技术能力、依法缴纳税收和社会保障资金，以及参加本项目采购活动前三年内无重大违法活动记录，以上四项以《汉中市财政局关于全面推行政府采购供应商基本资格条件承诺制的通知》汉财办采管〔2024〕20号中附件:《汉中市政府采购供应商资格承诺函》体现。</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汉台区民主街43号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汉中市人力资源和社会保障局经办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09162626322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陕西汉程云吉项目管理有限公司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陕西省汉中市汉台区东大街街道办事处莲湖路749号汉台区群艺馆院内东南面二楼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0916-2215737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开户名称：陕西汉程云吉项目管理有限公司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银行账号：2606050209200184323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代理服务费收费标准：均参照原国家计委《招标代理服务收费管理暂行办法》([2002]1980号)、《关于招标代理收费有关问题的通知(发改办价格(2003)857号》</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汉中市人力资源和社会保障局</w:t>
      </w:r>
      <w:r>
        <w:rPr>
          <w:rFonts w:ascii="仿宋_GB2312" w:hAnsi="仿宋_GB2312" w:cs="仿宋_GB2312" w:eastAsia="仿宋_GB2312"/>
        </w:rPr>
        <w:t>和</w:t>
      </w:r>
      <w:r>
        <w:rPr>
          <w:rFonts w:ascii="仿宋_GB2312" w:hAnsi="仿宋_GB2312" w:cs="仿宋_GB2312" w:eastAsia="仿宋_GB2312"/>
        </w:rPr>
        <w:t>陕西汉程云吉项目管理有限公司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陕西汉程云吉项目管理有限公司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陕西汉程云吉项目管理有限公司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乙方开发完成的技术成功符合合同规定的各项功能，按业务需求采用测试方法验收，由双方出具项目验收报告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在已建成“就业在汉中”精准就业服务平台及“秦云就业”汉中分台人才综合管理信息系统的基础上，进行二期建设，主要包括“就业在汉中”精准就业服务平台就业业务管理系统和事业单位公开招聘工作人员综合管理子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1,780,000.00</w:t>
      </w:r>
    </w:p>
    <w:p>
      <w:pPr>
        <w:pStyle w:val="null3"/>
      </w:pPr>
      <w:r>
        <w:rPr>
          <w:rFonts w:ascii="仿宋_GB2312" w:hAnsi="仿宋_GB2312" w:cs="仿宋_GB2312" w:eastAsia="仿宋_GB2312"/>
        </w:rPr>
        <w:t>采购包最高限价（元）: 1,780,000.00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“就业在汉中”精准就业服务平台及“秦云就业”汉中分台人才综合管理信息系统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标的名称：“就业在汉中”精准就业服务平台及“秦云就业”汉中分台人才综合管理信息系统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30"/>
                <w:b/>
                <w:color w:val="0F4761"/>
              </w:rPr>
              <w:t>一、建设背景</w:t>
            </w:r>
          </w:p>
          <w:p>
            <w:pPr>
              <w:pStyle w:val="null3"/>
              <w:ind w:firstLine="600"/>
            </w:pPr>
            <w:r>
              <w:rPr>
                <w:rFonts w:ascii="仿宋_GB2312" w:hAnsi="仿宋_GB2312" w:cs="仿宋_GB2312" w:eastAsia="仿宋_GB2312"/>
                <w:sz w:val="30"/>
              </w:rPr>
              <w:t>结合陕西省人社厅就业实名制系统建设总体构架，按照省厅《加快推进实名制动态就业服务系统建设和应用工作方案》具体要求，基于</w:t>
            </w:r>
            <w:r>
              <w:rPr>
                <w:rFonts w:ascii="仿宋_GB2312" w:hAnsi="仿宋_GB2312" w:cs="仿宋_GB2312" w:eastAsia="仿宋_GB2312"/>
                <w:sz w:val="30"/>
              </w:rPr>
              <w:t>“就业在汉中”精准就业服务平台及人才综合管理一期建设成果，加快梳理我市本地已运行的人社线上服务渠道、服务功能，不断完善扩充市人社服务事项内容，为稳就业促增收、实现高质量充分就业提供坚强支撑。</w:t>
            </w:r>
          </w:p>
          <w:p>
            <w:pPr>
              <w:pStyle w:val="null3"/>
              <w:ind w:firstLine="600"/>
            </w:pPr>
            <w:r>
              <w:rPr>
                <w:rFonts w:ascii="仿宋_GB2312" w:hAnsi="仿宋_GB2312" w:cs="仿宋_GB2312" w:eastAsia="仿宋_GB2312"/>
                <w:sz w:val="30"/>
              </w:rPr>
              <w:t>“就业在汉中”精准就业服务平台及“秦云就业”汉中分台人才综合管理信息系统一期项目经过近一年的运行，全市各级人社部门、公共就业服务机构以及购买第三方服务的机构等共接入并使用系统服务网点共62个，群众通过自助终端进行求职、找培训等公共就业服务超过2.2万人次，移动端及自助终端累计提供服务超过100万人次；同时，为全面推进我市人社“互联网+政务服务”工作，完成了人社一体化受理平台与市政务数据交换平台的对接，进一步提升了全市人社工作信息化水平，增强了群众的获得感和满意感。</w:t>
            </w:r>
          </w:p>
          <w:p>
            <w:pPr>
              <w:pStyle w:val="null3"/>
              <w:jc w:val="both"/>
              <w:outlineLvl w:val="0"/>
            </w:pPr>
            <w:r>
              <w:rPr>
                <w:rFonts w:ascii="仿宋_GB2312" w:hAnsi="仿宋_GB2312" w:cs="仿宋_GB2312" w:eastAsia="仿宋_GB2312"/>
                <w:sz w:val="30"/>
                <w:b/>
                <w:color w:val="0F4761"/>
              </w:rPr>
              <w:t>二、建设目标</w:t>
            </w:r>
          </w:p>
          <w:p>
            <w:pPr>
              <w:pStyle w:val="null3"/>
              <w:ind w:firstLine="600"/>
            </w:pPr>
            <w:r>
              <w:rPr>
                <w:rFonts w:ascii="仿宋_GB2312" w:hAnsi="仿宋_GB2312" w:cs="仿宋_GB2312" w:eastAsia="仿宋_GB2312"/>
                <w:sz w:val="30"/>
              </w:rPr>
              <w:t>强化就业业务与数字技术的深度融合，在</w:t>
            </w:r>
            <w:r>
              <w:rPr>
                <w:rFonts w:ascii="仿宋_GB2312" w:hAnsi="仿宋_GB2312" w:cs="仿宋_GB2312" w:eastAsia="仿宋_GB2312"/>
                <w:sz w:val="30"/>
              </w:rPr>
              <w:t>“就业在汉中”精准就业服务平台及“秦云就业”汉中分台人才综合管理信息系统的基础上，根据汉中市就业工作和人才管理实际情况，通过优化数据库，升级数据接口、整合历史数据，对一期项目进行功能升级与扩展，继续深化服务内容，不断提升行政效能和服务质量，同时对数据统一管理，提高数据的安全性和保密性，把难事办成、把好事办优。</w:t>
            </w:r>
          </w:p>
          <w:p>
            <w:pPr>
              <w:pStyle w:val="null3"/>
              <w:jc w:val="both"/>
              <w:outlineLvl w:val="0"/>
            </w:pPr>
            <w:r>
              <w:rPr>
                <w:rFonts w:ascii="仿宋_GB2312" w:hAnsi="仿宋_GB2312" w:cs="仿宋_GB2312" w:eastAsia="仿宋_GB2312"/>
                <w:sz w:val="30"/>
                <w:b/>
                <w:color w:val="0F4761"/>
              </w:rPr>
              <w:t>三、建设内容</w:t>
            </w:r>
          </w:p>
          <w:p>
            <w:pPr>
              <w:pStyle w:val="null3"/>
              <w:ind w:firstLine="600"/>
            </w:pPr>
            <w:r>
              <w:rPr>
                <w:rFonts w:ascii="仿宋_GB2312" w:hAnsi="仿宋_GB2312" w:cs="仿宋_GB2312" w:eastAsia="仿宋_GB2312"/>
                <w:sz w:val="30"/>
              </w:rPr>
              <w:t>在已建成</w:t>
            </w:r>
            <w:r>
              <w:rPr>
                <w:rFonts w:ascii="仿宋_GB2312" w:hAnsi="仿宋_GB2312" w:cs="仿宋_GB2312" w:eastAsia="仿宋_GB2312"/>
                <w:sz w:val="30"/>
              </w:rPr>
              <w:t>“就业在汉中”精准就业服务平台及“秦云就业”汉中分台人才综合管理信息系统的基础上，进行二期建设，主要包括“就业在汉中”精准就业服务平台就业业务管理系统和事业单位公开招聘工作人员综合管理子系统。</w:t>
            </w:r>
          </w:p>
          <w:p>
            <w:pPr>
              <w:pStyle w:val="null3"/>
              <w:jc w:val="both"/>
              <w:outlineLvl w:val="0"/>
            </w:pPr>
            <w:r>
              <w:rPr>
                <w:rFonts w:ascii="仿宋_GB2312" w:hAnsi="仿宋_GB2312" w:cs="仿宋_GB2312" w:eastAsia="仿宋_GB2312"/>
                <w:sz w:val="30"/>
                <w:b/>
                <w:color w:val="0F4761"/>
              </w:rPr>
              <w:t>（一）数据库优化提升</w:t>
            </w:r>
          </w:p>
          <w:p>
            <w:pPr>
              <w:pStyle w:val="null3"/>
              <w:ind w:firstLine="600"/>
            </w:pPr>
            <w:r>
              <w:rPr>
                <w:rFonts w:ascii="仿宋_GB2312" w:hAnsi="仿宋_GB2312" w:cs="仿宋_GB2312" w:eastAsia="仿宋_GB2312"/>
                <w:sz w:val="30"/>
              </w:rPr>
              <w:t>本期项目是在已建成</w:t>
            </w:r>
            <w:r>
              <w:rPr>
                <w:rFonts w:ascii="仿宋_GB2312" w:hAnsi="仿宋_GB2312" w:cs="仿宋_GB2312" w:eastAsia="仿宋_GB2312"/>
                <w:sz w:val="30"/>
              </w:rPr>
              <w:t>“就业在汉中”精准就业服务平台及“秦云就业”汉中分台人才综合管理信息系统项目数据库基础上，进行的功能扩展，需要根据二期建设内容对已建设的人力资源数据库、用工需求数据库和技能培训数据库进行优化提升，对历史数据进行整合，并对数据接口进行升级，对历史数据进行整合。</w:t>
            </w:r>
          </w:p>
          <w:p>
            <w:pPr>
              <w:pStyle w:val="null3"/>
              <w:jc w:val="both"/>
              <w:outlineLvl w:val="0"/>
            </w:pPr>
            <w:r>
              <w:rPr>
                <w:rFonts w:ascii="仿宋_GB2312" w:hAnsi="仿宋_GB2312" w:cs="仿宋_GB2312" w:eastAsia="仿宋_GB2312"/>
                <w:sz w:val="30"/>
                <w:b/>
                <w:color w:val="0F4761"/>
              </w:rPr>
              <w:t>（二）业务管理系统</w:t>
            </w:r>
          </w:p>
          <w:p>
            <w:pPr>
              <w:pStyle w:val="null3"/>
              <w:ind w:firstLine="600"/>
            </w:pPr>
            <w:r>
              <w:rPr>
                <w:rFonts w:ascii="仿宋_GB2312" w:hAnsi="仿宋_GB2312" w:cs="仿宋_GB2312" w:eastAsia="仿宋_GB2312"/>
                <w:sz w:val="30"/>
              </w:rPr>
              <w:t>依据一期建设的人力资源数据库、用工需求数据库已有数据，根据具体业务规则，对数据库进行指标扩充，对已有系统功能进行优化调整，并对我市各项数据进行多维度的分析展示。主要包括稳就业动态调度系统、职业技能培训系统、后台管理系统。</w:t>
            </w:r>
          </w:p>
          <w:p>
            <w:pPr>
              <w:pStyle w:val="null3"/>
              <w:numPr>
                <w:ilvl w:val="0"/>
                <w:numId w:val="1"/>
              </w:numPr>
              <w:ind w:left="420"/>
            </w:pPr>
            <w:r>
              <w:rPr>
                <w:rFonts w:ascii="仿宋_GB2312" w:hAnsi="仿宋_GB2312" w:cs="仿宋_GB2312" w:eastAsia="仿宋_GB2312"/>
                <w:sz w:val="30"/>
              </w:rPr>
              <w:t>稳就业动态调度系统</w:t>
            </w:r>
          </w:p>
          <w:p>
            <w:pPr>
              <w:pStyle w:val="null3"/>
              <w:ind w:firstLine="600"/>
            </w:pPr>
            <w:r>
              <w:rPr>
                <w:rFonts w:ascii="仿宋_GB2312" w:hAnsi="仿宋_GB2312" w:cs="仿宋_GB2312" w:eastAsia="仿宋_GB2312"/>
                <w:sz w:val="30"/>
              </w:rPr>
              <w:t>为了更加充分的利用好</w:t>
            </w:r>
            <w:r>
              <w:rPr>
                <w:rFonts w:ascii="仿宋_GB2312" w:hAnsi="仿宋_GB2312" w:cs="仿宋_GB2312" w:eastAsia="仿宋_GB2312"/>
                <w:sz w:val="30"/>
              </w:rPr>
              <w:t>“就业在汉中”精准就业服务平台，充实完善我市各项数据的分析维度和数据模型建设。在省厅实名制动态就业数据分析平台的基础上，建设稳就业动态调度系统，基于就业服务、业务数据分析、工作督办等工作展开以下分析应用工作。</w:t>
            </w:r>
          </w:p>
          <w:p>
            <w:pPr>
              <w:pStyle w:val="null3"/>
              <w:numPr>
                <w:ilvl w:val="0"/>
                <w:numId w:val="1"/>
              </w:numPr>
              <w:ind w:left="420"/>
            </w:pPr>
            <w:r>
              <w:rPr>
                <w:rFonts w:ascii="仿宋_GB2312" w:hAnsi="仿宋_GB2312" w:cs="仿宋_GB2312" w:eastAsia="仿宋_GB2312"/>
                <w:sz w:val="30"/>
              </w:rPr>
              <w:t>职业技能培训系统</w:t>
            </w:r>
          </w:p>
          <w:p>
            <w:pPr>
              <w:pStyle w:val="null3"/>
              <w:ind w:firstLine="600"/>
            </w:pPr>
            <w:r>
              <w:rPr>
                <w:rFonts w:ascii="仿宋_GB2312" w:hAnsi="仿宋_GB2312" w:cs="仿宋_GB2312" w:eastAsia="仿宋_GB2312"/>
                <w:sz w:val="30"/>
              </w:rPr>
              <w:t>在一期建设的技能培训数据库的基础上，根据业务规则，对职业技能培训系统进行功能扩展。</w:t>
            </w:r>
          </w:p>
          <w:p>
            <w:pPr>
              <w:pStyle w:val="null3"/>
              <w:numPr>
                <w:ilvl w:val="0"/>
                <w:numId w:val="1"/>
              </w:numPr>
              <w:ind w:left="420"/>
            </w:pPr>
            <w:r>
              <w:rPr>
                <w:rFonts w:ascii="仿宋_GB2312" w:hAnsi="仿宋_GB2312" w:cs="仿宋_GB2312" w:eastAsia="仿宋_GB2312"/>
                <w:sz w:val="30"/>
              </w:rPr>
              <w:t>后台管理系统</w:t>
            </w:r>
          </w:p>
          <w:p>
            <w:pPr>
              <w:pStyle w:val="null3"/>
              <w:ind w:firstLine="600"/>
            </w:pPr>
            <w:r>
              <w:rPr>
                <w:rFonts w:ascii="仿宋_GB2312" w:hAnsi="仿宋_GB2312" w:cs="仿宋_GB2312" w:eastAsia="仿宋_GB2312"/>
                <w:sz w:val="30"/>
              </w:rPr>
              <w:t>在一期已建设数据库和就业在汉中手机端、</w:t>
            </w:r>
            <w:r>
              <w:rPr>
                <w:rFonts w:ascii="仿宋_GB2312" w:hAnsi="仿宋_GB2312" w:cs="仿宋_GB2312" w:eastAsia="仿宋_GB2312"/>
                <w:sz w:val="30"/>
              </w:rPr>
              <w:t>PC端的基础上，对后台管理进行功能扩展。</w:t>
            </w:r>
          </w:p>
          <w:p>
            <w:pPr>
              <w:pStyle w:val="null3"/>
              <w:jc w:val="both"/>
              <w:outlineLvl w:val="0"/>
            </w:pPr>
            <w:r>
              <w:rPr>
                <w:rFonts w:ascii="仿宋_GB2312" w:hAnsi="仿宋_GB2312" w:cs="仿宋_GB2312" w:eastAsia="仿宋_GB2312"/>
                <w:sz w:val="30"/>
                <w:b/>
                <w:color w:val="0F4761"/>
              </w:rPr>
              <w:t>（三）</w:t>
            </w:r>
            <w:r>
              <w:rPr>
                <w:rFonts w:ascii="仿宋_GB2312" w:hAnsi="仿宋_GB2312" w:cs="仿宋_GB2312" w:eastAsia="仿宋_GB2312"/>
                <w:sz w:val="30"/>
                <w:b/>
                <w:color w:val="0F4761"/>
              </w:rPr>
              <w:t>“秦云就业”汉中分台人才综合管理子系统建设</w:t>
            </w:r>
          </w:p>
          <w:p>
            <w:pPr>
              <w:pStyle w:val="null3"/>
              <w:ind w:firstLine="600"/>
            </w:pPr>
            <w:r>
              <w:rPr>
                <w:rFonts w:ascii="仿宋_GB2312" w:hAnsi="仿宋_GB2312" w:cs="仿宋_GB2312" w:eastAsia="仿宋_GB2312"/>
                <w:sz w:val="30"/>
              </w:rPr>
              <w:t>在一期已建设人才综合管理的基础上，进行功能扩充，使系统管理人员可以在系统内进行相关的审核及管理工作。主要包括</w:t>
            </w:r>
            <w:r>
              <w:rPr>
                <w:rFonts w:ascii="仿宋_GB2312" w:hAnsi="仿宋_GB2312" w:cs="仿宋_GB2312" w:eastAsia="仿宋_GB2312"/>
                <w:sz w:val="30"/>
              </w:rPr>
              <w:t>考试公告录入</w:t>
            </w:r>
            <w:r>
              <w:rPr>
                <w:rFonts w:ascii="仿宋_GB2312" w:hAnsi="仿宋_GB2312" w:cs="仿宋_GB2312" w:eastAsia="仿宋_GB2312"/>
                <w:sz w:val="30"/>
              </w:rPr>
              <w:t>、考试公告修改</w:t>
            </w:r>
            <w:r>
              <w:rPr>
                <w:rFonts w:ascii="仿宋_GB2312" w:hAnsi="仿宋_GB2312" w:cs="仿宋_GB2312" w:eastAsia="仿宋_GB2312"/>
                <w:sz w:val="30"/>
              </w:rPr>
              <w:t>、考试公告发布</w:t>
            </w:r>
            <w:r>
              <w:rPr>
                <w:rFonts w:ascii="仿宋_GB2312" w:hAnsi="仿宋_GB2312" w:cs="仿宋_GB2312" w:eastAsia="仿宋_GB2312"/>
                <w:sz w:val="30"/>
              </w:rPr>
              <w:t>、招聘咨询管理</w:t>
            </w:r>
            <w:r>
              <w:rPr>
                <w:rFonts w:ascii="仿宋_GB2312" w:hAnsi="仿宋_GB2312" w:cs="仿宋_GB2312" w:eastAsia="仿宋_GB2312"/>
                <w:sz w:val="30"/>
              </w:rPr>
              <w:t>、报名信息审核</w:t>
            </w:r>
            <w:r>
              <w:rPr>
                <w:rFonts w:ascii="仿宋_GB2312" w:hAnsi="仿宋_GB2312" w:cs="仿宋_GB2312" w:eastAsia="仿宋_GB2312"/>
                <w:sz w:val="30"/>
              </w:rPr>
              <w:t>、报名信息复审</w:t>
            </w:r>
            <w:r>
              <w:rPr>
                <w:rFonts w:ascii="仿宋_GB2312" w:hAnsi="仿宋_GB2312" w:cs="仿宋_GB2312" w:eastAsia="仿宋_GB2312"/>
                <w:sz w:val="30"/>
              </w:rPr>
              <w:t>、考生信息导入</w:t>
            </w:r>
            <w:r>
              <w:rPr>
                <w:rFonts w:ascii="仿宋_GB2312" w:hAnsi="仿宋_GB2312" w:cs="仿宋_GB2312" w:eastAsia="仿宋_GB2312"/>
                <w:sz w:val="30"/>
              </w:rPr>
              <w:t>、笔试考场分配</w:t>
            </w:r>
            <w:r>
              <w:rPr>
                <w:rFonts w:ascii="仿宋_GB2312" w:hAnsi="仿宋_GB2312" w:cs="仿宋_GB2312" w:eastAsia="仿宋_GB2312"/>
                <w:sz w:val="30"/>
              </w:rPr>
              <w:t>、笔试成绩导入</w:t>
            </w:r>
            <w:r>
              <w:rPr>
                <w:rFonts w:ascii="仿宋_GB2312" w:hAnsi="仿宋_GB2312" w:cs="仿宋_GB2312" w:eastAsia="仿宋_GB2312"/>
                <w:sz w:val="30"/>
              </w:rPr>
              <w:t>、岗位及填报说明维护</w:t>
            </w:r>
            <w:r>
              <w:rPr>
                <w:rFonts w:ascii="仿宋_GB2312" w:hAnsi="仿宋_GB2312" w:cs="仿宋_GB2312" w:eastAsia="仿宋_GB2312"/>
                <w:sz w:val="30"/>
              </w:rPr>
              <w:t>、资格复审公告录入</w:t>
            </w:r>
            <w:r>
              <w:rPr>
                <w:rFonts w:ascii="仿宋_GB2312" w:hAnsi="仿宋_GB2312" w:cs="仿宋_GB2312" w:eastAsia="仿宋_GB2312"/>
                <w:sz w:val="30"/>
              </w:rPr>
              <w:t>、资格复审公告修改</w:t>
            </w:r>
            <w:r>
              <w:rPr>
                <w:rFonts w:ascii="仿宋_GB2312" w:hAnsi="仿宋_GB2312" w:cs="仿宋_GB2312" w:eastAsia="仿宋_GB2312"/>
                <w:sz w:val="30"/>
              </w:rPr>
              <w:t>、资格复审人员信息导入</w:t>
            </w:r>
            <w:r>
              <w:rPr>
                <w:rFonts w:ascii="仿宋_GB2312" w:hAnsi="仿宋_GB2312" w:cs="仿宋_GB2312" w:eastAsia="仿宋_GB2312"/>
                <w:sz w:val="30"/>
              </w:rPr>
              <w:t>、资格复审导入人员信息查询</w:t>
            </w:r>
            <w:r>
              <w:rPr>
                <w:rFonts w:ascii="仿宋_GB2312" w:hAnsi="仿宋_GB2312" w:cs="仿宋_GB2312" w:eastAsia="仿宋_GB2312"/>
                <w:sz w:val="30"/>
              </w:rPr>
              <w:t>、考生放弃资格复审信息查询</w:t>
            </w:r>
            <w:r>
              <w:rPr>
                <w:rFonts w:ascii="仿宋_GB2312" w:hAnsi="仿宋_GB2312" w:cs="仿宋_GB2312" w:eastAsia="仿宋_GB2312"/>
                <w:sz w:val="30"/>
              </w:rPr>
              <w:t>、资格复审人员资料审核</w:t>
            </w:r>
            <w:r>
              <w:rPr>
                <w:rFonts w:ascii="仿宋_GB2312" w:hAnsi="仿宋_GB2312" w:cs="仿宋_GB2312" w:eastAsia="仿宋_GB2312"/>
                <w:sz w:val="30"/>
              </w:rPr>
              <w:t>、补充材料审核</w:t>
            </w:r>
            <w:r>
              <w:rPr>
                <w:rFonts w:ascii="仿宋_GB2312" w:hAnsi="仿宋_GB2312" w:cs="仿宋_GB2312" w:eastAsia="仿宋_GB2312"/>
                <w:sz w:val="30"/>
              </w:rPr>
              <w:t>、在线面试管理</w:t>
            </w:r>
            <w:r>
              <w:rPr>
                <w:rFonts w:ascii="仿宋_GB2312" w:hAnsi="仿宋_GB2312" w:cs="仿宋_GB2312" w:eastAsia="仿宋_GB2312"/>
                <w:sz w:val="30"/>
              </w:rPr>
              <w:t>、面试成绩管理</w:t>
            </w:r>
            <w:r>
              <w:rPr>
                <w:rFonts w:ascii="仿宋_GB2312" w:hAnsi="仿宋_GB2312" w:cs="仿宋_GB2312" w:eastAsia="仿宋_GB2312"/>
                <w:sz w:val="30"/>
              </w:rPr>
              <w:t>、特殊人员成绩附加分管理</w:t>
            </w:r>
            <w:r>
              <w:rPr>
                <w:rFonts w:ascii="仿宋_GB2312" w:hAnsi="仿宋_GB2312" w:cs="仿宋_GB2312" w:eastAsia="仿宋_GB2312"/>
                <w:sz w:val="30"/>
              </w:rPr>
              <w:t>、录用考生信息导入</w:t>
            </w:r>
            <w:r>
              <w:rPr>
                <w:rFonts w:ascii="仿宋_GB2312" w:hAnsi="仿宋_GB2312" w:cs="仿宋_GB2312" w:eastAsia="仿宋_GB2312"/>
                <w:sz w:val="30"/>
              </w:rPr>
              <w:t>、考生综合信息查询导出</w:t>
            </w:r>
            <w:r>
              <w:rPr>
                <w:rFonts w:ascii="仿宋_GB2312" w:hAnsi="仿宋_GB2312" w:cs="仿宋_GB2312" w:eastAsia="仿宋_GB2312"/>
                <w:sz w:val="30"/>
              </w:rPr>
              <w:t>、考生成绩查询及导出</w:t>
            </w:r>
            <w:r>
              <w:rPr>
                <w:rFonts w:ascii="仿宋_GB2312" w:hAnsi="仿宋_GB2312" w:cs="仿宋_GB2312" w:eastAsia="仿宋_GB2312"/>
                <w:sz w:val="30"/>
              </w:rPr>
              <w:t>、考试成绩通知</w:t>
            </w:r>
            <w:r>
              <w:rPr>
                <w:rFonts w:ascii="仿宋_GB2312" w:hAnsi="仿宋_GB2312" w:cs="仿宋_GB2312" w:eastAsia="仿宋_GB2312"/>
                <w:sz w:val="30"/>
              </w:rPr>
              <w:t>、统计报表</w:t>
            </w:r>
            <w:r>
              <w:rPr>
                <w:rFonts w:ascii="仿宋_GB2312" w:hAnsi="仿宋_GB2312" w:cs="仿宋_GB2312" w:eastAsia="仿宋_GB2312"/>
                <w:sz w:val="30"/>
              </w:rPr>
              <w:t>等内容。</w:t>
            </w:r>
          </w:p>
          <w:p>
            <w:pPr>
              <w:pStyle w:val="null3"/>
              <w:jc w:val="both"/>
              <w:outlineLvl w:val="0"/>
            </w:pPr>
            <w:r>
              <w:rPr>
                <w:rFonts w:ascii="仿宋_GB2312" w:hAnsi="仿宋_GB2312" w:cs="仿宋_GB2312" w:eastAsia="仿宋_GB2312"/>
                <w:sz w:val="30"/>
                <w:b/>
                <w:color w:val="0F4761"/>
              </w:rPr>
              <w:t>（四）人才综合后台管理</w:t>
            </w:r>
          </w:p>
          <w:p>
            <w:pPr>
              <w:pStyle w:val="null3"/>
              <w:ind w:firstLine="600"/>
            </w:pPr>
            <w:r>
              <w:rPr>
                <w:rFonts w:ascii="仿宋_GB2312" w:hAnsi="仿宋_GB2312" w:cs="仿宋_GB2312" w:eastAsia="仿宋_GB2312"/>
                <w:sz w:val="30"/>
              </w:rPr>
              <w:t>在一期已建成人才综合管理子系统的基础上，对人才综合后台管理进行功能扩展，主要包括单位端和中心端。</w:t>
            </w:r>
          </w:p>
          <w:p>
            <w:pPr>
              <w:pStyle w:val="null3"/>
              <w:jc w:val="both"/>
              <w:outlineLvl w:val="0"/>
            </w:pPr>
            <w:r>
              <w:rPr>
                <w:rFonts w:ascii="仿宋_GB2312" w:hAnsi="仿宋_GB2312" w:cs="仿宋_GB2312" w:eastAsia="仿宋_GB2312"/>
                <w:sz w:val="30"/>
                <w:b/>
                <w:color w:val="0F4761"/>
              </w:rPr>
              <w:t>（五）人才综合管理信息系统交互设计对接</w:t>
            </w:r>
          </w:p>
          <w:p>
            <w:pPr>
              <w:pStyle w:val="null3"/>
              <w:ind w:firstLine="480"/>
            </w:pPr>
            <w:r>
              <w:rPr>
                <w:rFonts w:ascii="仿宋_GB2312" w:hAnsi="仿宋_GB2312" w:cs="仿宋_GB2312" w:eastAsia="仿宋_GB2312"/>
                <w:sz w:val="30"/>
              </w:rPr>
              <w:t>在一期已对接电子社保卡登录平台的基础上，根据实际业务需求本次对接两个系，包括对接公开招聘系统、陕西省证书查询系统。</w:t>
            </w:r>
          </w:p>
          <w:p>
            <w:pPr>
              <w:pStyle w:val="null3"/>
              <w:jc w:val="both"/>
              <w:outlineLvl w:val="0"/>
            </w:pPr>
            <w:r>
              <w:rPr>
                <w:rFonts w:ascii="仿宋_GB2312" w:hAnsi="仿宋_GB2312" w:cs="仿宋_GB2312" w:eastAsia="仿宋_GB2312"/>
                <w:sz w:val="30"/>
                <w:b/>
                <w:color w:val="0F4761"/>
              </w:rPr>
              <w:t>（六）人力资源市场终端机</w:t>
            </w:r>
          </w:p>
          <w:p>
            <w:pPr>
              <w:pStyle w:val="null3"/>
              <w:ind w:firstLine="480"/>
            </w:pPr>
            <w:r>
              <w:rPr>
                <w:rFonts w:ascii="仿宋_GB2312" w:hAnsi="仿宋_GB2312" w:cs="仿宋_GB2312" w:eastAsia="仿宋_GB2312"/>
                <w:sz w:val="30"/>
              </w:rPr>
              <w:t>人力资源市场终端机作为直接面向公众的重要窗口，一期采购的终端机已与软件进行了功能适配，本期项目在一期已经适配的基础上对自助终端功能进行扩展，本期计划继续采购原有终端机</w:t>
            </w:r>
            <w:r>
              <w:rPr>
                <w:rFonts w:ascii="仿宋_GB2312" w:hAnsi="仿宋_GB2312" w:cs="仿宋_GB2312" w:eastAsia="仿宋_GB2312"/>
                <w:sz w:val="30"/>
              </w:rPr>
              <w:t>10台，并加载原有软件系统。</w:t>
            </w:r>
          </w:p>
          <w:p>
            <w:pPr>
              <w:pStyle w:val="null3"/>
              <w:jc w:val="both"/>
              <w:outlineLvl w:val="0"/>
            </w:pPr>
            <w:r>
              <w:rPr>
                <w:rFonts w:ascii="仿宋_GB2312" w:hAnsi="仿宋_GB2312" w:cs="仿宋_GB2312" w:eastAsia="仿宋_GB2312"/>
                <w:sz w:val="30"/>
                <w:b/>
                <w:color w:val="0F4761"/>
              </w:rPr>
              <w:t>（七）国产化适配</w:t>
            </w:r>
          </w:p>
          <w:p>
            <w:pPr>
              <w:pStyle w:val="null3"/>
              <w:ind w:firstLine="480"/>
            </w:pPr>
            <w:r>
              <w:rPr>
                <w:rFonts w:ascii="仿宋_GB2312" w:hAnsi="仿宋_GB2312" w:cs="仿宋_GB2312" w:eastAsia="仿宋_GB2312"/>
                <w:sz w:val="30"/>
              </w:rPr>
              <w:t>本项目信息系统的开发支持适配国产化安全可控设备，平台支持与底层硬件、云平台、操作系统、数据库、中间件完成相关适配。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需提供研发人员不少于10人，驻场运维服务人员不少于1人。</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5个月（4个月完成开发上线，1个月试运行）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汉中市人力资源和社会保障局</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乙方开发完成的技术成功符合合同规定的各项功能，按业务需求采用测试方法验收，由双方出具项目验收报告。</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按合同约定逾期支付合同款的，每逾期一日甲方应按逾期付款额度每日万分之五向乙方支付违约金。逾期付款超过30个工作日的，除违约金外，乙方有权解除合同，并要求甲方赔偿由此造成的一切损失。由乙方原因不能按照合同规定期限完成系统和接口开发的，乙方每逾期一日向甲方支付该系统价款的万分之五的违约金;逾期超过合同规定期限30个工作日不能交付的甲方有权解除合同，收回已支付乙方的款项，并要求乙方赔偿由此造成的一切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法定代表人或单位负责人授权书及被授权人身份证（法定代表人或单位负责人直接参加投标除外，但须出示法定代表人或单位负责人身份证复印件及营业执照复印件）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i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单位负责人为同一人或者存在直接控股、管理关系的不同供应商，不得参加同一合同项下的政府采购活动（注：本项目不接受联合体投标）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健全的财务会计制度、履行合同所需的设备和专业技术能力、依法缴纳税收和社会保障资金，以及参加本项目采购活动前三年内无重大违法活动记录，以上四项以《汉中市财政局关于全面推行政府采购供应商基本资格条件承诺制的通知》汉财办采管〔2024〕20号中附件:《汉中市政府采购供应商资格承诺函》体现。</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政府采购政策</w:t>
            </w:r>
          </w:p>
        </w:tc>
        <w:tc>
          <w:tcPr>
            <w:tcW w:type="dxa" w:w="3322"/>
          </w:tcPr>
          <w:p>
            <w:pPr>
              <w:pStyle w:val="null3"/>
            </w:pPr>
            <w:r>
              <w:rPr>
                <w:rFonts w:ascii="仿宋_GB2312" w:hAnsi="仿宋_GB2312" w:cs="仿宋_GB2312" w:eastAsia="仿宋_GB2312"/>
              </w:rPr>
              <w:t>《政府采购促进中小企业发展管理办法》的通知--财库[2020]46号、财政部关于进一步加大政府采购支持中小企业力度的通知(财库(2022)19号)、陕西省财政厅关于进一步加大攻府采购支持中小企业力度的通知(陕财办采(2022)5号):2、财政部司法部关于政府采购支持监狱企业发展有关问题的通知--财库(2014)68号:3、《国务院办公厅关于建立政府强制采购节能产品制度的通知》--因办发(2007)51号:4、《关于印发环境标志产品政府采购品目清单的通知》--(财库(2019)18号):5、《关于印发节能产品政府采购品目清单的通知》-(财库(2019)19号):6、《财政部民政部中国残疾人联合会关于促进残疾人就业政府采购政策的通知》--(财库(2017141号):7、《关于运用政府采购政策支持乡村产业振兴的通知》(财库(2021)19号)8、陕西省财政厅关于印发《陕西省中小企业政府采购信用融资办法》(陕财办采(2018)23号):9、《陕西省财政厅关于加快推进我省中小企业政府采购信用融资工作的通知》(陕财办采(2020)15号):10、《关于进步加强政府绿色采购有关问题的通知》(陕财办采(2021)29号):11、其他需要落实的攻府采购政策。 若享受以上政策优惠的企业，提供相应声明函或品目范围内产品有效认证证书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详见附件：合同模板1.0.docx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