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版本号：JXRZ-HC-2025-10620250811001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汉中市“十五五”碳排放分析展望和预算管理研究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JXRZ-HC-2025-106</w:t>
      </w:r>
      <w:r>
        <w:br/>
      </w:r>
      <w:r>
        <w:br/>
      </w:r>
      <w:r>
        <w:br/>
      </w:r>
    </w:p>
    <w:p>
      <w:pPr>
        <w:pStyle w:val="null3"/>
        <w:jc w:val="center"/>
        <w:outlineLvl w:val="2"/>
      </w:pPr>
      <w:r>
        <w:rPr>
          <w:rFonts w:ascii="仿宋_GB2312" w:hAnsi="仿宋_GB2312" w:cs="仿宋_GB2312" w:eastAsia="仿宋_GB2312"/>
          <w:sz w:val="28"/>
          <w:b/>
        </w:rPr>
        <w:t>汉中市发展和改革委员会</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汉中市发展和改革委员会</w:t>
      </w:r>
      <w:r>
        <w:rPr>
          <w:rFonts w:ascii="仿宋_GB2312" w:hAnsi="仿宋_GB2312" w:cs="仿宋_GB2312" w:eastAsia="仿宋_GB2312"/>
        </w:rPr>
        <w:t>委托，拟对</w:t>
      </w:r>
      <w:r>
        <w:rPr>
          <w:rFonts w:ascii="仿宋_GB2312" w:hAnsi="仿宋_GB2312" w:cs="仿宋_GB2312" w:eastAsia="仿宋_GB2312"/>
        </w:rPr>
        <w:t>汉中市“十五五”碳排放分析展望和预算管理研究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汉中市“十五五”碳排放分析展望和预算管理研究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摸清我市历史年份碳排放底数、科学测算“十五五”潜力和趋势、系统研判碳达峰时间、争取更多碳排放指标，为全市经济社会发展和重大工程项目预留足够碳排放空间，我市急需委托第三方机构开展《汉中市“十五五”碳排放分析展望和碳预算管理》研究工作。通过课题研究，系统分析碳排放现状水平和“十五五”碳排放变化趋势，综合研判碳达峰时间、峰值，为科学制定碳达峰指标任务提供有力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陕西省汉中市汉台区汉中路民主街43号汉中市人民政府9号楼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0916-2639727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说明：由中标（成交）供应商与采购人签订采购合同时提交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汉中市发展和改革委员会</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摸清我市历史年份碳排放底数、科学测算“十五五”潜力和趋势、系统研判碳达峰时间、争取更多碳排放指标，为全市经济社会发展和重大工程项目预留足够碳排放空间，我市急需委托第三方机构开展《汉中市“十五五”碳排放分析展望和碳预算管理》研究工作。通过课题研究，系统分析碳排放现状水平和“十五五”碳排放变化趋势，综合研判碳达峰时间、峰值，为科学制定碳达峰指标任务提供有力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课题研究服务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标的名称：课题研究服务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一、项目名称</w:t>
            </w:r>
          </w:p>
          <w:p>
            <w:pPr>
              <w:pStyle w:val="null3"/>
              <w:ind w:firstLine="640"/>
              <w:jc w:val="both"/>
            </w:pPr>
            <w:r>
              <w:rPr>
                <w:rFonts w:ascii="仿宋_GB2312" w:hAnsi="仿宋_GB2312" w:cs="仿宋_GB2312" w:eastAsia="仿宋_GB2312"/>
                <w:sz w:val="21"/>
              </w:rPr>
              <w:t>汉中市</w:t>
            </w:r>
            <w:r>
              <w:rPr>
                <w:rFonts w:ascii="仿宋_GB2312" w:hAnsi="仿宋_GB2312" w:cs="仿宋_GB2312" w:eastAsia="仿宋_GB2312"/>
                <w:sz w:val="21"/>
              </w:rPr>
              <w:t>“十五五”碳排放分析展望和预算管理研究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二、项目</w:t>
            </w:r>
            <w:r>
              <w:rPr>
                <w:rFonts w:ascii="仿宋_GB2312" w:hAnsi="仿宋_GB2312" w:cs="仿宋_GB2312" w:eastAsia="仿宋_GB2312"/>
                <w:sz w:val="21"/>
              </w:rPr>
              <w:t>概况</w:t>
            </w:r>
          </w:p>
          <w:p>
            <w:pPr>
              <w:pStyle w:val="null3"/>
              <w:ind w:firstLine="640"/>
              <w:jc w:val="both"/>
            </w:pPr>
            <w:r>
              <w:rPr>
                <w:rFonts w:ascii="仿宋_GB2312" w:hAnsi="仿宋_GB2312" w:cs="仿宋_GB2312" w:eastAsia="仿宋_GB2312"/>
                <w:sz w:val="21"/>
              </w:rPr>
              <w:t>为进一步摸清我市历史年份碳排放底数、科学测算“十五五”潜力和趋势、系统研判碳达峰时间、争取更多碳排放指标，为全市经济社会发展和重大工程项目预留足够碳排放空间，我市急需委托第三方机构开展《汉中市“十五五”碳排放分析展望和碳预算管理》研究工作。通过课题研究，系统分析碳排放现状水平和“十五五”碳排放变化趋势，综合研判碳达峰时间、峰值，为科学制定碳达峰指标任务提供有力支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工作内容</w:t>
            </w:r>
          </w:p>
          <w:p>
            <w:pPr>
              <w:pStyle w:val="null3"/>
              <w:ind w:firstLine="640"/>
              <w:jc w:val="both"/>
            </w:pPr>
            <w:r>
              <w:rPr>
                <w:rFonts w:ascii="仿宋_GB2312" w:hAnsi="仿宋_GB2312" w:cs="仿宋_GB2312" w:eastAsia="仿宋_GB2312"/>
                <w:sz w:val="21"/>
              </w:rPr>
              <w:t>编制汉中市</w:t>
            </w:r>
            <w:r>
              <w:rPr>
                <w:rFonts w:ascii="仿宋_GB2312" w:hAnsi="仿宋_GB2312" w:cs="仿宋_GB2312" w:eastAsia="仿宋_GB2312"/>
                <w:sz w:val="21"/>
              </w:rPr>
              <w:t>“十五五”碳排放分析展望和预算管理研究报告，包括历史年份的能源消费、煤炭消费和碳排放情况分析、“十五五”碳排放分析展望、“十五五”</w:t>
            </w:r>
            <w:r>
              <w:rPr>
                <w:rFonts w:ascii="仿宋_GB2312" w:hAnsi="仿宋_GB2312" w:cs="仿宋_GB2312" w:eastAsia="仿宋_GB2312"/>
                <w:sz w:val="21"/>
              </w:rPr>
              <w:t>碳排放预算管理、零碳园区政策研究</w:t>
            </w:r>
            <w:r>
              <w:rPr>
                <w:rFonts w:ascii="仿宋_GB2312" w:hAnsi="仿宋_GB2312" w:cs="仿宋_GB2312" w:eastAsia="仿宋_GB2312"/>
                <w:sz w:val="21"/>
              </w:rPr>
              <w:t>，</w:t>
            </w:r>
            <w:r>
              <w:rPr>
                <w:rFonts w:ascii="仿宋_GB2312" w:hAnsi="仿宋_GB2312" w:cs="仿宋_GB2312" w:eastAsia="仿宋_GB2312"/>
                <w:sz w:val="21"/>
              </w:rPr>
              <w:t>并积极运用研究成果协助汉中争取更多的碳排放指标空间</w:t>
            </w:r>
            <w:r>
              <w:rPr>
                <w:rFonts w:ascii="仿宋_GB2312" w:hAnsi="仿宋_GB2312" w:cs="仿宋_GB2312" w:eastAsia="仿宋_GB2312"/>
                <w:sz w:val="21"/>
              </w:rPr>
              <w:t>，</w:t>
            </w:r>
            <w:r>
              <w:rPr>
                <w:rFonts w:ascii="仿宋_GB2312" w:hAnsi="仿宋_GB2312" w:cs="仿宋_GB2312" w:eastAsia="仿宋_GB2312"/>
                <w:sz w:val="21"/>
              </w:rPr>
              <w:t>附必要的图表。</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编制依据</w:t>
            </w:r>
          </w:p>
          <w:p>
            <w:pPr>
              <w:pStyle w:val="null3"/>
              <w:ind w:firstLine="640"/>
              <w:jc w:val="both"/>
            </w:pPr>
            <w:r>
              <w:rPr>
                <w:rFonts w:ascii="仿宋_GB2312" w:hAnsi="仿宋_GB2312" w:cs="仿宋_GB2312" w:eastAsia="仿宋_GB2312"/>
                <w:sz w:val="21"/>
              </w:rPr>
              <w:t>符合国家宏观政策导向、规划目标，响应国家重大战略部署，符合国家现行法律法规有关规定，符合地方实际与发展需求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五、服务期限</w:t>
            </w:r>
          </w:p>
          <w:p>
            <w:pPr>
              <w:pStyle w:val="null3"/>
              <w:ind w:firstLine="640"/>
              <w:jc w:val="both"/>
            </w:pPr>
            <w:r>
              <w:rPr>
                <w:rFonts w:ascii="仿宋_GB2312" w:hAnsi="仿宋_GB2312" w:cs="仿宋_GB2312" w:eastAsia="仿宋_GB2312"/>
                <w:sz w:val="21"/>
              </w:rPr>
              <w:t>合同签订后</w:t>
            </w:r>
            <w:r>
              <w:rPr>
                <w:rFonts w:ascii="仿宋_GB2312" w:hAnsi="仿宋_GB2312" w:cs="仿宋_GB2312" w:eastAsia="仿宋_GB2312"/>
                <w:sz w:val="21"/>
              </w:rPr>
              <w:t>2个月内按照采购人要求的方式完成履约。</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成果要求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1）编制汉中市“十五五”碳排放分析展望和预算管理研究报告，</w:t>
            </w:r>
            <w:r>
              <w:rPr>
                <w:rFonts w:ascii="仿宋_GB2312" w:hAnsi="仿宋_GB2312" w:cs="仿宋_GB2312" w:eastAsia="仿宋_GB2312"/>
                <w:sz w:val="21"/>
              </w:rPr>
              <w:t>包括历史年份的能源消费、煤炭消费和碳排放情况分析、</w:t>
            </w:r>
            <w:r>
              <w:rPr>
                <w:rFonts w:ascii="仿宋_GB2312" w:hAnsi="仿宋_GB2312" w:cs="仿宋_GB2312" w:eastAsia="仿宋_GB2312"/>
                <w:sz w:val="21"/>
              </w:rPr>
              <w:t>“十五五”碳排放分析展望、“十五五”碳排放预算管理、零碳园区政策研究</w:t>
            </w:r>
            <w:r>
              <w:rPr>
                <w:rFonts w:ascii="仿宋_GB2312" w:hAnsi="仿宋_GB2312" w:cs="仿宋_GB2312" w:eastAsia="仿宋_GB2312"/>
                <w:sz w:val="21"/>
              </w:rPr>
              <w:t>，并积极运用研究成果协助汉中争取更多的碳排放指标空间。</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2）附必要的图表。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接主体应为碳排放预算管理领域一流的权威研究机构，应成立专门的专业团队负责该项目，团队成员需包含1名项目负责人及不少于5名的编制人员，其中2名编制人员需常驻项目所在地开展相关工作；项目团队中高级以上职称不少于2人，项目负责人具备高级职称，且必须是该项目实施全过程的真正组织者和指导者，负责过相关规划、调研、专项研究等课题项目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合同签订后2个月内按照采购人要求的方式完成履约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研究成果通过专家结题评审，经最终审定部门审定和批复印发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研究成果形成初稿并通过第一次专家评审后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研究成果进一步修改完善并通过第二次专家结题评审后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竞争性磋商响应文件按磋商文件要求电子签章</w:t>
            </w:r>
          </w:p>
        </w:tc>
        <w:tc>
          <w:tcPr>
            <w:tcW w:type="dxa" w:w="3322"/>
          </w:tcPr>
          <w:p>
            <w:pPr>
              <w:pStyle w:val="null3"/>
            </w:pPr>
            <w:r>
              <w:rPr>
                <w:rFonts w:ascii="仿宋_GB2312" w:hAnsi="仿宋_GB2312" w:cs="仿宋_GB2312" w:eastAsia="仿宋_GB2312"/>
              </w:rPr>
              <w:t>投标人应按竞争性磋商文件要求对招标文件进行电子签章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拟投入本项目人员配置情况表.docx 近年类似业绩一览表.docx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提供2022年1月1日以来类似项目的业绩，每个2分，满分10分。 注：近3年(2022年1月1日以来)，以合同协议书签订时间或中标通知书发放时间为准的业绩，需提供合同扫描件或中标通知书扫描件，并加盖供应商企业公章。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（1）项目负责人具有高级技术职称以上或同等专业水平证书等证明材料得4分； （2）拟派本项目技术团队成员中具有中级或以上职称的，每提供一个得1.2分，最高6分；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对本项目需求的理解，结合项目需求，根据供应商对本项目需求的了解及认识，方案需包含：①项目实施总体思路以及对本项目的理解程度；②服务范围；③服务内容；④服务标准；⑤针对本项目编制的工作实施方案；⑥人员内部分工合理；⑦现场协调管理措施。 二、评审标准 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 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 三、赋分标准 1、完整性：方案内容完整全面，对上述内容均有描述及说明，得7分；上述评审内容缺1项，扣1分。 2、针对性：每一项评审内容针对性强，得2分；针对性一般，得1分；缺乏针对性，不得分；7项评审内容的针对性最多可得14分。 3、可实施性：每一项评审内容可实施性强，得3分；可实施性一般，得1.5分；缺乏可实施性，不得分；7项评审内容的可实施性最多可得21分。 4、不提供方案不得分。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一、评审内容：质量保证措施内容包括但不限于：①质量目标；②质量保障措施。 二、评审标准 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 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 三、赋分标准： 1、完整性：方案内容完整全面，对上述内容均有描述及说明，得3分；上述评审内容缺1项，扣1.5分。 2、针对性：每一项评审内容针对性强，得2分；针对性一般，得1分；缺乏针对性，不得分；2项评审内容的针对性最多可得4分。 3、可实施性：每一项评审内容可实施性强，得3分；可实施性一般，得1.5分；缺乏可实施性，不得分；2项评审内容的可实施性最多可得6分。 4、不提供方案不得分。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一、评审内容：项目实施进度计划内容内容包括但不限于：①实施进度方案；②进度保障措施；③工作阶段任务划分； 二、评审标准 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 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 三、赋分标准： 1、完整性：方案内容完整全面，对上述内容均有描述及说明，得3分；上述评审内容缺1项，扣1分。 2、针对性：每一项评审内容针对性强，得2分；针对性一般，得1分；缺乏针对性，不得分；3项评审内容的针对性最多可得6分。 3、可实施性：每一项评审内容可实施性强，得2分；可实施性一般，得1分；缺乏可实施性，不得分；3项评审内容的可实施性最多可得6分。 4、不提供方案不得分。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