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版本号：GLD2025-081301Z20250821001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病案数字化服务采购项目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GLD2025-081301Z</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病案数字化服务采购项目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GLD2025-081301Z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病案数字化服务采购项目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病案数字化服务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采购包1（病案数字化服务采购项目）：属于专门面向中小企业采购。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 55号天朗经开中心 25 层 2505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17792615459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代理服务费收费标准：成交人在领取成交通知书时，参照国家计委《招标代理服务收费管理暂行办法》(计价格〔2002〕1980号)及国家发展改革委《关于降低部分建设项目收费标准规范收费行为等有关问题的通知 》（发改价格[2011]534号）文件的规定向陕西广联达招标有限公司交纳招标服务费。名称：陕西广联达招标有限公司，开户行：中国银行股份有限公司西安万寿路支行， 账号：1028 4964 6773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符合国家、行业现行的安全、质量等相关标准规范要求。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联系电话：17792615459</w:t>
      </w:r>
    </w:p>
    <w:p>
      <w:pPr>
        <w:pStyle w:val="null3"/>
      </w:pPr>
      <w:r>
        <w:rPr>
          <w:rFonts w:ascii="仿宋_GB2312" w:hAnsi="仿宋_GB2312" w:cs="仿宋_GB2312" w:eastAsia="仿宋_GB2312"/>
        </w:rPr>
        <w:t>地址：西安经济技术开发区明光路55号天朗经开中心25层2505室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汉中市中心医院病案数字化服务采购项目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病案数字化服务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标的名称：病案数字化服务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after="30"/>
              <w:jc w:val="left"/>
            </w:pPr>
            <w:r>
              <w:rPr>
                <w:rFonts w:ascii="仿宋_GB2312" w:hAnsi="仿宋_GB2312" w:cs="仿宋_GB2312" w:eastAsia="仿宋_GB2312"/>
                <w:sz w:val="24"/>
                <w:b/>
                <w:shd w:fill="FDFEFE" w:val="clear"/>
              </w:rPr>
              <w:t>一、项目概述</w:t>
            </w:r>
          </w:p>
          <w:p>
            <w:pPr>
              <w:pStyle w:val="null3"/>
              <w:spacing w:before="60" w:after="60"/>
              <w:ind w:firstLine="480"/>
              <w:jc w:val="left"/>
            </w:pPr>
            <w:r>
              <w:rPr>
                <w:rFonts w:ascii="仿宋_GB2312" w:hAnsi="仿宋_GB2312" w:cs="仿宋_GB2312" w:eastAsia="仿宋_GB2312"/>
                <w:sz w:val="24"/>
                <w:shd w:fill="FDFEFE" w:val="clear"/>
              </w:rPr>
              <w:t>医院既往病历已数字化处理，医院预期后续上线病案无纸化，此次采购服务为病案无纸化完全上线前的过渡项目。</w:t>
            </w:r>
          </w:p>
          <w:p>
            <w:pPr>
              <w:pStyle w:val="null3"/>
              <w:jc w:val="both"/>
            </w:pPr>
            <w:r>
              <w:rPr>
                <w:rFonts w:ascii="仿宋_GB2312" w:hAnsi="仿宋_GB2312" w:cs="仿宋_GB2312" w:eastAsia="仿宋_GB2312"/>
                <w:sz w:val="24"/>
                <w:b/>
                <w:shd w:fill="FDFEFE" w:val="clear"/>
              </w:rPr>
              <w:t>二、项目要求</w:t>
            </w:r>
          </w:p>
          <w:p>
            <w:pPr>
              <w:pStyle w:val="null3"/>
              <w:jc w:val="both"/>
            </w:pPr>
            <w:r>
              <w:rPr>
                <w:rFonts w:ascii="仿宋_GB2312" w:hAnsi="仿宋_GB2312" w:cs="仿宋_GB2312" w:eastAsia="仿宋_GB2312"/>
                <w:sz w:val="24"/>
                <w:b/>
                <w:shd w:fill="FDFEFE" w:val="clear"/>
              </w:rPr>
              <w:t>（一）技术要求</w:t>
            </w:r>
          </w:p>
          <w:p>
            <w:pPr>
              <w:pStyle w:val="null3"/>
              <w:spacing w:before="30" w:after="30"/>
              <w:ind w:firstLine="240"/>
              <w:jc w:val="left"/>
            </w:pPr>
            <w:r>
              <w:rPr>
                <w:rFonts w:ascii="仿宋_GB2312" w:hAnsi="仿宋_GB2312" w:cs="仿宋_GB2312" w:eastAsia="仿宋_GB2312"/>
                <w:sz w:val="24"/>
                <w:shd w:fill="FDFEFE" w:val="clear"/>
              </w:rPr>
              <w:t>1.在约定时间内完成院方的约出院纸质病案数字化工作。</w:t>
            </w:r>
          </w:p>
          <w:p>
            <w:pPr>
              <w:pStyle w:val="null3"/>
              <w:spacing w:before="30" w:after="30"/>
              <w:ind w:firstLine="240"/>
              <w:jc w:val="left"/>
            </w:pPr>
            <w:r>
              <w:rPr>
                <w:rFonts w:ascii="仿宋_GB2312" w:hAnsi="仿宋_GB2312" w:cs="仿宋_GB2312" w:eastAsia="仿宋_GB2312"/>
                <w:sz w:val="24"/>
                <w:shd w:fill="FDFEFE" w:val="clear"/>
              </w:rPr>
              <w:t>2.兼容性：必需充分了解我院现有病案数字化项目现状，整合为统一应用，统一成一个界面调用所有病案数字化相关数据，并提供厂商承诺函，承诺历史数据接口费用均由中标方负责等，如查实未能达到院方要求的承诺被视为虚假应标，院方将追究其责任，并终止合作。</w:t>
            </w:r>
          </w:p>
          <w:p>
            <w:pPr>
              <w:pStyle w:val="null3"/>
              <w:spacing w:before="30" w:after="30"/>
              <w:ind w:firstLine="240"/>
              <w:jc w:val="left"/>
            </w:pPr>
            <w:r>
              <w:rPr>
                <w:rFonts w:ascii="仿宋_GB2312" w:hAnsi="仿宋_GB2312" w:cs="仿宋_GB2312" w:eastAsia="仿宋_GB2312"/>
                <w:sz w:val="24"/>
                <w:shd w:fill="FDFEFE" w:val="clear"/>
              </w:rPr>
              <w:t>3.系统能够支持详细信息，可录入病案号，姓名，性别，年龄，出院日期，入院日期以及出院科室信息。</w:t>
            </w:r>
          </w:p>
          <w:p>
            <w:pPr>
              <w:pStyle w:val="null3"/>
              <w:spacing w:before="30" w:after="30"/>
              <w:ind w:firstLine="240"/>
              <w:jc w:val="left"/>
            </w:pPr>
            <w:r>
              <w:rPr>
                <w:rFonts w:ascii="仿宋_GB2312" w:hAnsi="仿宋_GB2312" w:cs="仿宋_GB2312" w:eastAsia="仿宋_GB2312"/>
                <w:sz w:val="24"/>
                <w:shd w:fill="FDFEFE" w:val="clear"/>
              </w:rPr>
              <w:t>4.对原始纸质病案应用数码技术分页数字化加工制作，形成数码图像。</w:t>
            </w:r>
          </w:p>
          <w:p>
            <w:pPr>
              <w:pStyle w:val="null3"/>
              <w:spacing w:before="30" w:after="30"/>
              <w:ind w:firstLine="240"/>
              <w:jc w:val="left"/>
            </w:pPr>
            <w:r>
              <w:rPr>
                <w:rFonts w:ascii="仿宋_GB2312" w:hAnsi="仿宋_GB2312" w:cs="仿宋_GB2312" w:eastAsia="仿宋_GB2312"/>
                <w:sz w:val="24"/>
                <w:shd w:fill="FDFEFE" w:val="clear"/>
              </w:rPr>
              <w:t>5.图像高清，数字化病案的图像尺寸为2048</w:t>
            </w:r>
            <w:r>
              <w:rPr>
                <w:rFonts w:ascii="仿宋_GB2312" w:hAnsi="仿宋_GB2312" w:cs="仿宋_GB2312" w:eastAsia="仿宋_GB2312"/>
                <w:sz w:val="24"/>
                <w:shd w:fill="FDFEFE" w:val="clear"/>
              </w:rPr>
              <w:t>×</w:t>
            </w:r>
            <w:r>
              <w:rPr>
                <w:rFonts w:ascii="仿宋_GB2312" w:hAnsi="仿宋_GB2312" w:cs="仿宋_GB2312" w:eastAsia="仿宋_GB2312"/>
                <w:sz w:val="24"/>
                <w:shd w:fill="FDFEFE" w:val="clear"/>
              </w:rPr>
              <w:t>1536（310万像素）及以上，必须同时提供彩色图像和黑白图像二份图片。</w:t>
            </w:r>
          </w:p>
          <w:p>
            <w:pPr>
              <w:pStyle w:val="null3"/>
              <w:spacing w:before="30" w:after="30"/>
              <w:ind w:firstLine="240"/>
              <w:jc w:val="left"/>
            </w:pPr>
            <w:r>
              <w:rPr>
                <w:rFonts w:ascii="仿宋_GB2312" w:hAnsi="仿宋_GB2312" w:cs="仿宋_GB2312" w:eastAsia="仿宋_GB2312"/>
                <w:sz w:val="24"/>
                <w:shd w:fill="FDFEFE" w:val="clear"/>
              </w:rPr>
              <w:t>6.原始纸质病案可以使用条形码技术装箱保存，定位管理，便于对原始纸质病案的快速查找。</w:t>
            </w:r>
          </w:p>
          <w:p>
            <w:pPr>
              <w:pStyle w:val="null3"/>
              <w:jc w:val="both"/>
            </w:pPr>
            <w:r>
              <w:rPr>
                <w:rFonts w:ascii="仿宋_GB2312" w:hAnsi="仿宋_GB2312" w:cs="仿宋_GB2312" w:eastAsia="仿宋_GB2312"/>
                <w:sz w:val="24"/>
                <w:b/>
                <w:shd w:fill="FDFEFE" w:val="clear"/>
              </w:rPr>
              <w:t>（二）软件功能</w:t>
            </w:r>
          </w:p>
          <w:p>
            <w:pPr>
              <w:pStyle w:val="null3"/>
              <w:spacing w:before="30" w:after="30"/>
              <w:ind w:firstLine="240"/>
              <w:jc w:val="left"/>
            </w:pPr>
            <w:r>
              <w:rPr>
                <w:rFonts w:ascii="仿宋_GB2312" w:hAnsi="仿宋_GB2312" w:cs="仿宋_GB2312" w:eastAsia="仿宋_GB2312"/>
                <w:sz w:val="24"/>
                <w:shd w:fill="FDFEFE" w:val="clear"/>
              </w:rPr>
              <w:t>1.系统符合国家、卫生部等各种标准和规范，符合医院实际需求。</w:t>
            </w:r>
          </w:p>
          <w:p>
            <w:pPr>
              <w:pStyle w:val="null3"/>
              <w:spacing w:before="30" w:after="30"/>
              <w:ind w:firstLine="240"/>
              <w:jc w:val="left"/>
            </w:pPr>
            <w:r>
              <w:rPr>
                <w:rFonts w:ascii="仿宋_GB2312" w:hAnsi="仿宋_GB2312" w:cs="仿宋_GB2312" w:eastAsia="仿宋_GB2312"/>
                <w:sz w:val="24"/>
                <w:shd w:fill="FDFEFE" w:val="clear"/>
              </w:rPr>
              <w:t>2.系统采用开放性设计，能根据医院实际需求进行应用系统的功能重组、二次开发。</w:t>
            </w:r>
          </w:p>
          <w:p>
            <w:pPr>
              <w:pStyle w:val="null3"/>
              <w:spacing w:before="30" w:after="30"/>
              <w:ind w:firstLine="240"/>
              <w:jc w:val="left"/>
            </w:pPr>
            <w:r>
              <w:rPr>
                <w:rFonts w:ascii="仿宋_GB2312" w:hAnsi="仿宋_GB2312" w:cs="仿宋_GB2312" w:eastAsia="仿宋_GB2312"/>
                <w:sz w:val="24"/>
                <w:shd w:fill="FDFEFE" w:val="clear"/>
              </w:rPr>
              <w:t>3.系统病案检索有单一和组合模式，按使用者需求检索所需病案。</w:t>
            </w:r>
          </w:p>
          <w:p>
            <w:pPr>
              <w:pStyle w:val="null3"/>
              <w:spacing w:before="30" w:after="30"/>
              <w:ind w:firstLine="240"/>
              <w:jc w:val="left"/>
            </w:pPr>
            <w:r>
              <w:rPr>
                <w:rFonts w:ascii="仿宋_GB2312" w:hAnsi="仿宋_GB2312" w:cs="仿宋_GB2312" w:eastAsia="仿宋_GB2312"/>
                <w:sz w:val="24"/>
                <w:shd w:fill="FDFEFE" w:val="clear"/>
              </w:rPr>
              <w:t>4.阅读显示病案图像具有水印，能防范数码相机偷拍。屏蔽非法拷贝病案，具有彩色和黑白阅读打印功能。</w:t>
            </w:r>
          </w:p>
          <w:p>
            <w:pPr>
              <w:pStyle w:val="null3"/>
              <w:spacing w:before="30" w:after="30"/>
              <w:ind w:firstLine="240"/>
              <w:jc w:val="left"/>
            </w:pPr>
            <w:r>
              <w:rPr>
                <w:rFonts w:ascii="仿宋_GB2312" w:hAnsi="仿宋_GB2312" w:cs="仿宋_GB2312" w:eastAsia="仿宋_GB2312"/>
                <w:sz w:val="24"/>
                <w:shd w:fill="FDFEFE" w:val="clear"/>
              </w:rPr>
              <w:t>5.设有使用权限数字化病案功能；设有网络申请和审批使用数字化病案功能；设有授权的时段内（永久、年、月、日、小时）功能（超出时间范围自动屏蔽）；医保、商业保险公司以及公检法等外部用户可以按系统临时授予的权限查看病案。</w:t>
            </w:r>
          </w:p>
          <w:p>
            <w:pPr>
              <w:pStyle w:val="null3"/>
              <w:spacing w:before="30" w:after="30"/>
              <w:ind w:firstLine="240"/>
              <w:jc w:val="left"/>
            </w:pPr>
            <w:r>
              <w:rPr>
                <w:rFonts w:ascii="仿宋_GB2312" w:hAnsi="仿宋_GB2312" w:cs="仿宋_GB2312" w:eastAsia="仿宋_GB2312"/>
                <w:sz w:val="24"/>
                <w:shd w:fill="FDFEFE" w:val="clear"/>
              </w:rPr>
              <w:t>6.病案访问权限分为阅读、打印和导出三类，每一级权限向下兼容，访问控制包括用户组权限、科室权限、有效期限制、医学分类限制、IP地址限制、显示字段限制和特殊病案锁定。</w:t>
            </w:r>
          </w:p>
          <w:p>
            <w:pPr>
              <w:pStyle w:val="null3"/>
              <w:spacing w:before="30" w:after="30"/>
              <w:ind w:firstLine="240"/>
              <w:jc w:val="left"/>
            </w:pPr>
            <w:r>
              <w:rPr>
                <w:rFonts w:ascii="仿宋_GB2312" w:hAnsi="仿宋_GB2312" w:cs="仿宋_GB2312" w:eastAsia="仿宋_GB2312"/>
                <w:sz w:val="24"/>
                <w:shd w:fill="FDFEFE" w:val="clear"/>
              </w:rPr>
              <w:t>7.系统自动记录用户在系统内所有操作的详细日志，并可形成报表，便于回溯追踪。</w:t>
            </w:r>
          </w:p>
          <w:p>
            <w:pPr>
              <w:pStyle w:val="null3"/>
              <w:spacing w:before="30" w:after="30"/>
              <w:ind w:firstLine="240"/>
              <w:jc w:val="left"/>
            </w:pPr>
            <w:r>
              <w:rPr>
                <w:rFonts w:ascii="仿宋_GB2312" w:hAnsi="仿宋_GB2312" w:cs="仿宋_GB2312" w:eastAsia="仿宋_GB2312"/>
                <w:sz w:val="24"/>
                <w:shd w:fill="FDFEFE" w:val="clear"/>
              </w:rPr>
              <w:t>8.系统可实现对病案数据的磁盘备份，提供定时定期的数据备份以及还原功能。</w:t>
            </w:r>
          </w:p>
          <w:p>
            <w:pPr>
              <w:pStyle w:val="null3"/>
              <w:spacing w:before="30" w:after="30"/>
              <w:ind w:firstLine="240"/>
              <w:jc w:val="left"/>
            </w:pPr>
            <w:r>
              <w:rPr>
                <w:rFonts w:ascii="仿宋_GB2312" w:hAnsi="仿宋_GB2312" w:cs="仿宋_GB2312" w:eastAsia="仿宋_GB2312"/>
                <w:sz w:val="24"/>
                <w:shd w:fill="FDFEFE" w:val="clear"/>
              </w:rPr>
              <w:t>9.数字化病案的图像清晰、无歪斜、打印清晰，每幅图像均有属性标注，病历索引数据与病历图像对应完全正确。</w:t>
            </w:r>
          </w:p>
          <w:p>
            <w:pPr>
              <w:pStyle w:val="null3"/>
              <w:spacing w:before="30" w:after="30"/>
              <w:jc w:val="left"/>
            </w:pPr>
            <w:r>
              <w:rPr>
                <w:rFonts w:ascii="仿宋_GB2312" w:hAnsi="仿宋_GB2312" w:cs="仿宋_GB2312" w:eastAsia="仿宋_GB2312"/>
                <w:sz w:val="24"/>
                <w:b/>
                <w:shd w:fill="FDFEFE" w:val="clear"/>
              </w:rPr>
              <w:t>（三）系统接口要求</w:t>
            </w:r>
          </w:p>
          <w:p>
            <w:pPr>
              <w:pStyle w:val="null3"/>
              <w:spacing w:before="30" w:after="30"/>
              <w:ind w:firstLine="240"/>
              <w:jc w:val="left"/>
            </w:pPr>
            <w:r>
              <w:rPr>
                <w:rFonts w:ascii="仿宋_GB2312" w:hAnsi="仿宋_GB2312" w:cs="仿宋_GB2312" w:eastAsia="仿宋_GB2312"/>
                <w:sz w:val="24"/>
                <w:shd w:fill="FDFEFE" w:val="clear"/>
              </w:rPr>
              <w:t>1.病案首页系统接口：可导入已有的病案首页信息；</w:t>
            </w:r>
          </w:p>
          <w:p>
            <w:pPr>
              <w:pStyle w:val="null3"/>
              <w:spacing w:before="30" w:after="30"/>
              <w:ind w:firstLine="240"/>
              <w:jc w:val="left"/>
            </w:pPr>
            <w:r>
              <w:rPr>
                <w:rFonts w:ascii="仿宋_GB2312" w:hAnsi="仿宋_GB2312" w:cs="仿宋_GB2312" w:eastAsia="仿宋_GB2312"/>
                <w:sz w:val="24"/>
                <w:shd w:fill="FDFEFE" w:val="clear"/>
              </w:rPr>
              <w:t>2.数字化病案调用接口：提供B/S形式或C/S形式的接口，方便电子病历系统等工作站调用。</w:t>
            </w:r>
          </w:p>
          <w:p>
            <w:pPr>
              <w:pStyle w:val="null3"/>
              <w:spacing w:before="30" w:after="30"/>
              <w:jc w:val="left"/>
            </w:pPr>
            <w:r>
              <w:rPr>
                <w:rFonts w:ascii="仿宋_GB2312" w:hAnsi="仿宋_GB2312" w:cs="仿宋_GB2312" w:eastAsia="仿宋_GB2312"/>
                <w:sz w:val="24"/>
                <w:b/>
                <w:shd w:fill="FDFEFE" w:val="clear"/>
              </w:rPr>
              <w:t>（四）售后服务</w:t>
            </w:r>
          </w:p>
          <w:p>
            <w:pPr>
              <w:pStyle w:val="null3"/>
              <w:jc w:val="both"/>
            </w:pPr>
            <w:r>
              <w:rPr>
                <w:rFonts w:ascii="仿宋_GB2312" w:hAnsi="仿宋_GB2312" w:cs="仿宋_GB2312" w:eastAsia="仿宋_GB2312"/>
                <w:sz w:val="24"/>
                <w:shd w:fill="FDFEFE" w:val="clear"/>
              </w:rPr>
              <w:t>1.故障报修的响应时间：周一至周五9:00～17:00期间为2小时。若电话中无法解决，6小时内到达现场进行维护。</w:t>
            </w:r>
          </w:p>
          <w:p>
            <w:pPr>
              <w:pStyle w:val="null3"/>
              <w:spacing w:before="30" w:after="30"/>
              <w:jc w:val="left"/>
            </w:pPr>
            <w:r>
              <w:rPr>
                <w:rFonts w:ascii="仿宋_GB2312" w:hAnsi="仿宋_GB2312" w:cs="仿宋_GB2312" w:eastAsia="仿宋_GB2312"/>
                <w:sz w:val="24"/>
                <w:b/>
                <w:shd w:fill="FDFEFE" w:val="clear"/>
              </w:rPr>
              <w:t>三、暂定数量及单价最高限价</w:t>
            </w:r>
          </w:p>
          <w:p>
            <w:pPr>
              <w:pStyle w:val="null3"/>
              <w:spacing w:before="30" w:after="30"/>
              <w:jc w:val="left"/>
            </w:pPr>
            <w:r>
              <w:rPr>
                <w:rFonts w:ascii="仿宋_GB2312" w:hAnsi="仿宋_GB2312" w:cs="仿宋_GB2312" w:eastAsia="仿宋_GB2312"/>
                <w:sz w:val="24"/>
                <w:b/>
                <w:shd w:fill="FDFEFE" w:val="clear"/>
              </w:rPr>
              <w:t>1、暂定数量为4000000张；</w:t>
            </w:r>
          </w:p>
          <w:p>
            <w:pPr>
              <w:pStyle w:val="null3"/>
              <w:spacing w:before="30" w:after="30"/>
              <w:jc w:val="left"/>
            </w:pPr>
            <w:r>
              <w:rPr>
                <w:rFonts w:ascii="仿宋_GB2312" w:hAnsi="仿宋_GB2312" w:cs="仿宋_GB2312" w:eastAsia="仿宋_GB2312"/>
                <w:sz w:val="24"/>
                <w:b/>
                <w:shd w:fill="FDFEFE" w:val="clear"/>
              </w:rPr>
              <w:t>2、单价最高限价为0.1元/张。</w:t>
            </w:r>
          </w:p>
          <w:p>
            <w:pPr>
              <w:pStyle w:val="null3"/>
              <w:spacing w:before="30" w:after="30"/>
              <w:ind w:firstLine="482"/>
              <w:jc w:val="left"/>
            </w:pPr>
            <w:r>
              <w:rPr>
                <w:rFonts w:ascii="仿宋_GB2312" w:hAnsi="仿宋_GB2312" w:cs="仿宋_GB2312" w:eastAsia="仿宋_GB2312"/>
                <w:sz w:val="24"/>
                <w:b/>
                <w:shd w:fill="FDFEFE" w:val="clear"/>
              </w:rPr>
              <w:t>注：磋商报价超过采购预算、单价报价超过</w:t>
            </w:r>
            <w:r>
              <w:rPr>
                <w:rFonts w:ascii="仿宋_GB2312" w:hAnsi="仿宋_GB2312" w:cs="仿宋_GB2312" w:eastAsia="仿宋_GB2312"/>
                <w:sz w:val="24"/>
                <w:b/>
                <w:shd w:fill="FDFEFE" w:val="clear"/>
              </w:rPr>
              <w:t>单价最高限价的，按无效文件处理；最终根据实际制作数量</w:t>
            </w:r>
            <w:r>
              <w:rPr>
                <w:rFonts w:ascii="仿宋_GB2312" w:hAnsi="仿宋_GB2312" w:cs="仿宋_GB2312" w:eastAsia="仿宋_GB2312"/>
                <w:sz w:val="24"/>
                <w:b/>
                <w:shd w:fill="FDFEFE" w:val="clear"/>
              </w:rPr>
              <w:t>×单价据实结算。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工作完成后，由甲方进行评审和验收，评审和验收标准应符合相应主管部门的审查要求，评审达不到要求的，继续完善至符合要求。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经采购人验收合格后，按照实际已验收制作数量×单价据实结算，每季度结算一次，中标供应商应在采购人付款前提供等额合规发票，否则采购人有权拒付合同款项，且不承担任何责任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只能有一个有效报价，不得提交选择性报价，且报价不超过采购预算金额或最高限价及单价最高限价。</w:t>
            </w:r>
          </w:p>
        </w:tc>
        <w:tc>
          <w:tcPr>
            <w:tcW w:type="dxa" w:w="1661"/>
          </w:tcPr>
          <w:p>
            <w:pPr>
              <w:pStyle w:val="null3"/>
            </w:pPr>
            <w:r>
              <w:rPr>
                <w:rFonts w:ascii="仿宋_GB2312" w:hAnsi="仿宋_GB2312" w:cs="仿宋_GB2312" w:eastAsia="仿宋_GB2312"/>
              </w:rPr>
              <w:t>标的清单 报价表 首轮单价报价表.docx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供应商针对本项目制定内容清晰详实的服务方案及流程。依据档案整理、清查、存储等服务内容制定服务方案。 方案各部分内容全面详细、阐述条理清晰详尽、符合本项目采购需求得10-15分；方案各部分内容有缺陷、阐述条理不清晰详尽、较符合本项目采购需求得5-10分；内容描述过于简单没有关键点、条理不清晰、与项目内容不匹配、非专门针对本项目或不适用本项目特性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提出具体的服务保障措施，内容包含：①项目进度控制方案；②质量控制方案；③质量保证措施；④分析管理升级过程中的重难点工作，并给出合理的解决方案；方案各部分内容全面详细、阐述条理清晰详尽、符合本项目采购需求得12-18分；方案各部分内容有缺陷、阐述条理不清晰详尽、较符合本项目采购需求得7-12分；内容描述过于简单没有关键点、条理不清晰、与项目内容不匹配、非专门针对本项目或不适用本项目特性得0-7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供应商针对本项目的人员配备方案，包含：①人员配备清单；②岗位分工；③配备人员资质证书；④人员管理制度等。人员配置全面，对评审内容中的各项要求有详细描述得7-10分， 员配置简单，对评审内容中的各项要求描述简单得4-7分， 人员配置不符合本项目需求，对评审内容中的各项要求描述笼统无重点得0-4分；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措施保障，措施保障内容包含：①供应商在服务期间针对停电、汛期、火灾等突发灾害有相应的应急预案、②应急处理响应时间、③应急人数及人员安排、④保障措施。方案各部分内容全面详细、阐述条理清晰详尽、符合本项目采购需求得7-10分，方案各部分内容有缺陷、阐述条理不清晰详尽、较符合本项目采购需求得4-7分，内容描述过于简单没有关键点；条理不清晰；与项目内容不匹配、非专门针对本项目或不适用本项目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培训人员安排；方案各部分内容全面详细、阐述条理清晰详尽、符合本项目采购需求得7-10分，方案各部分内容有缺陷、阐述条理不清晰详尽、较符合本项目采购需求得4-7分，内容描述过于简单没有关键点；条理不清晰；与项目内容不匹配、非专门针对本项目或不适用本项目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供应商提供病案数字化管理系统著作权证得2分，未提供不得分。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病案安全与保密方案，能保障医院病案原件和病案影像数据的安全。提供详尽、周密的安全保密方案，根据方案对档案实体、电子数据、现场管理的保密措施的全面性、有效性、可靠性和切实可行性等方面综合评审。项目保密方案详尽、周密、可行性较强，得7-10分；项目保密方案可行性一般，得4-7分；项目保密方案一般，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对接能力</w:t>
            </w:r>
          </w:p>
        </w:tc>
        <w:tc>
          <w:tcPr>
            <w:tcW w:type="dxa" w:w="2492"/>
          </w:tcPr>
          <w:p>
            <w:pPr>
              <w:pStyle w:val="null3"/>
            </w:pPr>
            <w:r>
              <w:rPr>
                <w:rFonts w:ascii="仿宋_GB2312" w:hAnsi="仿宋_GB2312" w:cs="仿宋_GB2312" w:eastAsia="仿宋_GB2312"/>
              </w:rPr>
              <w:t>供应商需承诺能与医院现有病案数字化系统的数据无缝衔接（需提供相关承诺函，承诺函内容必须体现中标后承担所有现有数字化数据接口费用）满足得5分，不满足不得分。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针对该项目提供具体可行的售后服务计划、售后服务措施、故障修复时间、巡检次数及巡检时间段、售后服务的保障措施、服务人员保障等，按其响应程度计0-5分。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以合同的形式提供投标人2022年1月1日至今类似业绩，每提供一份得1分，满分5分；提供完整合同复印件。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首轮单价报价表.docx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详见附件：首轮单价报价表.docx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