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版本号：SCZD2025-CS-2160-00120250818001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准分子激光维保项目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SCZD2025-CS-2160-001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准分子激光维保项目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SCZD2025-CS-2160-001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准分子激光维保项目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准分子激光维保服务：1 维保对象： 激光手术系统（ALLEGRETTO）；2 维保年限（服务期）：自合同开始之日起三 年；3 维保范围：全保（含激光管、所有光路镜片等免费更换）； 4预算金额：35.5万元/年。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采购包1（汉中市中心医院准分子激光维保项目）：属于专门面向中小企业采购。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银行账号：102061558063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代理服务费收费标准：代理服务费以三年合计中标金额为基数，参照《国家计委关于印发&lt;招标代理服务收费管理暂行办法&gt;的通知》（计价格[2002]1980号）规定标准按标段收取。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准分子激光维保服务：1 维保对象： 激光手术系统（ALLEGRETTO）；2 维保年限（服务期）：自合同开始之日起 三 年；3 维保范围：全保（含激光管、所有光路镜片等免费更换）； 4预算金额：35.5万元/年。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355,000.00</w:t>
      </w:r>
    </w:p>
    <w:p>
      <w:pPr>
        <w:pStyle w:val="null3"/>
      </w:pPr>
      <w:r>
        <w:rPr>
          <w:rFonts w:ascii="仿宋_GB2312" w:hAnsi="仿宋_GB2312" w:cs="仿宋_GB2312" w:eastAsia="仿宋_GB2312"/>
        </w:rPr>
        <w:t>采购包最高限价（元）: 355,000.00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准分子激光维保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标的名称：准分子激光维保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开机率：</w:t>
            </w:r>
            <w:r>
              <w:rPr>
                <w:rFonts w:ascii="仿宋_GB2312" w:hAnsi="仿宋_GB2312" w:cs="仿宋_GB2312" w:eastAsia="仿宋_GB2312"/>
                <w:sz w:val="24"/>
              </w:rPr>
              <w:t>保证年开机率</w:t>
            </w:r>
            <w:r>
              <w:rPr>
                <w:rFonts w:ascii="仿宋_GB2312" w:hAnsi="仿宋_GB2312" w:cs="仿宋_GB2312" w:eastAsia="仿宋_GB2312"/>
                <w:sz w:val="24"/>
              </w:rPr>
              <w:t>≥</w:t>
            </w:r>
            <w:r>
              <w:rPr>
                <w:rFonts w:ascii="仿宋_GB2312" w:hAnsi="仿宋_GB2312" w:cs="仿宋_GB2312" w:eastAsia="仿宋_GB2312"/>
                <w:sz w:val="24"/>
              </w:rPr>
              <w:t>95%</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质控要求：</w:t>
            </w:r>
            <w:r>
              <w:rPr>
                <w:rFonts w:ascii="仿宋_GB2312" w:hAnsi="仿宋_GB2312" w:cs="仿宋_GB2312" w:eastAsia="仿宋_GB2312"/>
                <w:sz w:val="24"/>
              </w:rPr>
              <w:t>定期进行设备的机械安全检测、电气安全检测、并提供报告</w:t>
            </w:r>
            <w:r>
              <w:rPr>
                <w:rFonts w:ascii="仿宋_GB2312" w:hAnsi="仿宋_GB2312" w:cs="仿宋_GB2312" w:eastAsia="仿宋_GB2312"/>
                <w:sz w:val="24"/>
              </w:rPr>
              <w:t>,确保设备符合国家相应规定的质量要求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保养</w:t>
            </w:r>
            <w:r>
              <w:rPr>
                <w:rFonts w:ascii="仿宋_GB2312" w:hAnsi="仿宋_GB2312" w:cs="仿宋_GB2312" w:eastAsia="仿宋_GB2312"/>
                <w:sz w:val="24"/>
              </w:rPr>
              <w:t>维修</w:t>
            </w:r>
            <w:r>
              <w:rPr>
                <w:rFonts w:ascii="仿宋_GB2312" w:hAnsi="仿宋_GB2312" w:cs="仿宋_GB2312" w:eastAsia="仿宋_GB2312"/>
                <w:sz w:val="24"/>
              </w:rPr>
              <w:t>次数：</w:t>
            </w:r>
            <w:r>
              <w:rPr>
                <w:rFonts w:ascii="仿宋_GB2312" w:hAnsi="仿宋_GB2312" w:cs="仿宋_GB2312" w:eastAsia="仿宋_GB2312"/>
                <w:sz w:val="24"/>
              </w:rPr>
              <w:t>每年</w:t>
            </w:r>
            <w:r>
              <w:rPr>
                <w:rFonts w:ascii="仿宋_GB2312" w:hAnsi="仿宋_GB2312" w:cs="仿宋_GB2312" w:eastAsia="仿宋_GB2312"/>
                <w:sz w:val="24"/>
              </w:rPr>
              <w:t>4次保养</w:t>
            </w:r>
            <w:r>
              <w:rPr>
                <w:rFonts w:ascii="仿宋_GB2312" w:hAnsi="仿宋_GB2312" w:cs="仿宋_GB2312" w:eastAsia="仿宋_GB2312"/>
                <w:sz w:val="24"/>
              </w:rPr>
              <w:t>，</w:t>
            </w:r>
            <w:r>
              <w:rPr>
                <w:rFonts w:ascii="仿宋_GB2312" w:hAnsi="仿宋_GB2312" w:cs="仿宋_GB2312" w:eastAsia="仿宋_GB2312"/>
                <w:sz w:val="24"/>
              </w:rPr>
              <w:t>不限维修次数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零备件库房：</w:t>
            </w:r>
            <w:r>
              <w:rPr>
                <w:rFonts w:ascii="仿宋_GB2312" w:hAnsi="仿宋_GB2312" w:cs="仿宋_GB2312" w:eastAsia="仿宋_GB2312"/>
                <w:sz w:val="24"/>
              </w:rPr>
              <w:t>需在国内设有零备件仓库</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远程维修服务：</w:t>
            </w:r>
            <w:r>
              <w:rPr>
                <w:rFonts w:ascii="仿宋_GB2312" w:hAnsi="仿宋_GB2312" w:cs="仿宋_GB2312" w:eastAsia="仿宋_GB2312"/>
                <w:sz w:val="24"/>
              </w:rPr>
              <w:t>用户可通过电话或</w:t>
            </w:r>
            <w:r>
              <w:rPr>
                <w:rFonts w:ascii="仿宋_GB2312" w:hAnsi="仿宋_GB2312" w:cs="仿宋_GB2312" w:eastAsia="仿宋_GB2312"/>
                <w:sz w:val="24"/>
              </w:rPr>
              <w:t xml:space="preserve"> 400</w:t>
            </w:r>
            <w:r>
              <w:rPr>
                <w:rFonts w:ascii="仿宋_GB2312" w:hAnsi="仿宋_GB2312" w:cs="仿宋_GB2312" w:eastAsia="仿宋_GB2312"/>
                <w:sz w:val="24"/>
              </w:rPr>
              <w:t>售后服务热线电话等快捷手段免费得到</w:t>
            </w:r>
            <w:r>
              <w:rPr>
                <w:rFonts w:ascii="仿宋_GB2312" w:hAnsi="仿宋_GB2312" w:cs="仿宋_GB2312" w:eastAsia="仿宋_GB2312"/>
                <w:sz w:val="24"/>
              </w:rPr>
              <w:t>服务商</w:t>
            </w:r>
            <w:r>
              <w:rPr>
                <w:rFonts w:ascii="仿宋_GB2312" w:hAnsi="仿宋_GB2312" w:cs="仿宋_GB2312" w:eastAsia="仿宋_GB2312"/>
                <w:sz w:val="24"/>
              </w:rPr>
              <w:t>的技术支持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报修响应时间：</w:t>
            </w:r>
            <w:r>
              <w:rPr>
                <w:rFonts w:ascii="仿宋_GB2312" w:hAnsi="仿宋_GB2312" w:cs="仿宋_GB2312" w:eastAsia="仿宋_GB2312"/>
                <w:sz w:val="24"/>
              </w:rPr>
              <w:t>响应为</w:t>
            </w:r>
            <w:r>
              <w:rPr>
                <w:rFonts w:ascii="仿宋_GB2312" w:hAnsi="仿宋_GB2312" w:cs="仿宋_GB2312" w:eastAsia="仿宋_GB2312"/>
                <w:sz w:val="24"/>
              </w:rPr>
              <w:t>1</w:t>
            </w:r>
            <w:r>
              <w:rPr>
                <w:rFonts w:ascii="仿宋_GB2312" w:hAnsi="仿宋_GB2312" w:cs="仿宋_GB2312" w:eastAsia="仿宋_GB2312"/>
                <w:sz w:val="24"/>
              </w:rPr>
              <w:t>小时之内，</w:t>
            </w:r>
            <w:r>
              <w:rPr>
                <w:rFonts w:ascii="仿宋_GB2312" w:hAnsi="仿宋_GB2312" w:cs="仿宋_GB2312" w:eastAsia="仿宋_GB2312"/>
                <w:sz w:val="24"/>
              </w:rPr>
              <w:t>48</w:t>
            </w:r>
            <w:r>
              <w:rPr>
                <w:rFonts w:ascii="仿宋_GB2312" w:hAnsi="仿宋_GB2312" w:cs="仿宋_GB2312" w:eastAsia="仿宋_GB2312"/>
                <w:sz w:val="24"/>
              </w:rPr>
              <w:t>小时内到场，</w:t>
            </w:r>
            <w:r>
              <w:rPr>
                <w:rFonts w:ascii="仿宋_GB2312" w:hAnsi="仿宋_GB2312" w:cs="仿宋_GB2312" w:eastAsia="仿宋_GB2312"/>
                <w:sz w:val="24"/>
              </w:rPr>
              <w:t>365天全天候工程师接听服务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维修人员资质：</w:t>
            </w:r>
            <w:r>
              <w:rPr>
                <w:rFonts w:ascii="仿宋_GB2312" w:hAnsi="仿宋_GB2312" w:cs="仿宋_GB2312" w:eastAsia="仿宋_GB2312"/>
                <w:sz w:val="24"/>
              </w:rPr>
              <w:t>供应商派到现场服务的工程师</w:t>
            </w:r>
            <w:r>
              <w:rPr>
                <w:rFonts w:ascii="仿宋_GB2312" w:hAnsi="仿宋_GB2312" w:cs="仿宋_GB2312" w:eastAsia="仿宋_GB2312"/>
                <w:sz w:val="24"/>
              </w:rPr>
              <w:t>拥有该</w:t>
            </w:r>
            <w:r>
              <w:rPr>
                <w:rFonts w:ascii="仿宋_GB2312" w:hAnsi="仿宋_GB2312" w:cs="仿宋_GB2312" w:eastAsia="仿宋_GB2312"/>
                <w:sz w:val="24"/>
              </w:rPr>
              <w:t>机型的</w:t>
            </w:r>
            <w:r>
              <w:rPr>
                <w:rFonts w:ascii="仿宋_GB2312" w:hAnsi="仿宋_GB2312" w:cs="仿宋_GB2312" w:eastAsia="仿宋_GB2312"/>
                <w:sz w:val="24"/>
              </w:rPr>
              <w:t>工程师</w:t>
            </w:r>
            <w:r>
              <w:rPr>
                <w:rFonts w:ascii="仿宋_GB2312" w:hAnsi="仿宋_GB2312" w:cs="仿宋_GB2312" w:eastAsia="仿宋_GB2312"/>
                <w:sz w:val="24"/>
              </w:rPr>
              <w:t>培训</w:t>
            </w:r>
            <w:r>
              <w:rPr>
                <w:rFonts w:ascii="仿宋_GB2312" w:hAnsi="仿宋_GB2312" w:cs="仿宋_GB2312" w:eastAsia="仿宋_GB2312"/>
                <w:sz w:val="24"/>
              </w:rPr>
              <w:t>资格证书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提供具体维保服务方案：</w:t>
            </w:r>
            <w:r>
              <w:rPr>
                <w:rFonts w:ascii="仿宋_GB2312" w:hAnsi="仿宋_GB2312" w:cs="仿宋_GB2312" w:eastAsia="仿宋_GB2312"/>
                <w:sz w:val="24"/>
              </w:rPr>
              <w:t>包括但不限于项目实施方案、综合维修能力、售后服务承诺（响应时间、售后技术人员名单和联系方式、应急措施）等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自合同开始之日起3年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合同签署后按年付款，发票开具后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准分子激光维保服务：1 维保对象： 激光手术系统（ALLEGRETTO）；2 维保年限（服务期）：自合同开始之日起 三 年；3 维保范围：全保（含激光管、所有光路镜片等免费更换）； 4预算金额：35.5万元/年。 响应报价为维保服务的所有费用，包括人工、软件升级、常规备件、培训、售后服务税金及其他所有可能发生的一切费用。采购人不再追加任何费用。项目各个过程中涉及到的必要验收费用，由供应商负责。项目实施过程中，采购人不再支付任何费用。 服务商对其提供产品或服务的使用和操作应尽培训义务。服务商应提供对采购人的基本培训，使采购人使用人员熟练掌握所培训内容，熟练掌握全部功能，培训的相关费用包括在响应报价中，采购不再另行支付。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 特定资格要求材料.docx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 定代表人或其委托代理人签字或加盖人名章</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满足商务要求、响应内容无漏项或数量与要求不符</w:t>
            </w:r>
          </w:p>
        </w:tc>
        <w:tc>
          <w:tcPr>
            <w:tcW w:type="dxa" w:w="1661"/>
          </w:tcPr>
          <w:p>
            <w:pPr>
              <w:pStyle w:val="null3"/>
            </w:pPr>
            <w:r>
              <w:rPr>
                <w:rFonts w:ascii="仿宋_GB2312" w:hAnsi="仿宋_GB2312" w:cs="仿宋_GB2312" w:eastAsia="仿宋_GB2312"/>
              </w:rPr>
              <w:t>投标分项报价表.docx 标的清单 报价表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投标分项报价表.docx 服务要求响应偏离表及相关证明资料.docx 服务方案 标的清单 报价表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技术参数与性能指标：完全响应或优于采购要求得40分，一般项1项不满足扣5分，扣完为止。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tc>
      </w:tr>
      <w:tr>
        <w:tc>
          <w:tcPr>
            <w:tcW w:type="dxa" w:w="831"/>
            <w:vMerge/>
          </w:tcPr>
          <w:p/>
        </w:tc>
        <w:tc>
          <w:tcPr>
            <w:tcW w:type="dxa" w:w="1661"/>
          </w:tcPr>
          <w:p>
            <w:pPr>
              <w:pStyle w:val="null3"/>
            </w:pPr>
            <w:r>
              <w:rPr>
                <w:rFonts w:ascii="仿宋_GB2312" w:hAnsi="仿宋_GB2312" w:cs="仿宋_GB2312" w:eastAsia="仿宋_GB2312"/>
              </w:rPr>
              <w:t>1：保养、维护计划方案（10分）</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2：故障紧急应急预案（5分）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3：服务质量保证措施（5分）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4：零配件兼容可靠性（5分）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5：人员配备方案（5分）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6：服务承诺（5分）</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7：增值服务（5分）</w:t>
            </w:r>
          </w:p>
        </w:tc>
        <w:tc>
          <w:tcPr>
            <w:tcW w:type="dxa" w:w="2492"/>
          </w:tcPr>
          <w:p>
            <w:pPr>
              <w:pStyle w:val="null3"/>
            </w:pPr>
            <w:r>
              <w:rPr>
                <w:rFonts w:ascii="仿宋_GB2312" w:hAnsi="仿宋_GB2312" w:cs="仿宋_GB2312" w:eastAsia="仿宋_GB2312"/>
              </w:rPr>
              <w:t>供应商根据项目需求提供的增值服务：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供应商2021年1月1日至投标截止之日（以合同签订时间为准）承担过本次维保产品的维保业绩，每提供一份得2.5分，最高得10分。提供合同复印件，未提供不得分。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满足采购文件要求且最终响应报价最低的报价为评审基准价，其价格分为满分。其他供应商的价格分统一按照下列公式计算：响应报价得分=（评标基准价/最终响应报价）×价格分值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详见附件：响应保证金支付凭证或担保函.docx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