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版本号：KRHZZB-202501020250815002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宁强县县域生态环境质量监测服务项目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KRHZZB-2025010</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宁强县县域生态环境质量监测服务项目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KRHZZB-2025010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宁强县县域生态环境质量监测服务项目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第三方技术服务单位，主要包括县域地表水、饮用水水源地、农村环境质量、环境质量调查、污染源等监测工作，委托期限为一年。主要功能或目标:按照《宁强县生态环境监测工作方案》要求，按时限完成监测任务，需满足的要求:按照监测任务清单，按照时间进度提供监测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采购包1（宁强县县域生态环境质量监测服务项目）：属于专门面向中小企业采购。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文件：供应商须具有独立承担民事责任能力的法人、其他组织或自然人，并出具合法有效的营业执照或事业单位法人证书等国家规定的相关证明，自然人参与的提供其身份证明书；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2、法定代表人授权书：法定代表人授权书及被授权人身份证（法定代表人直接参加投标只须提供法定代表人身份证）；</w:t>
      </w:r>
    </w:p>
    <w:p>
      <w:pPr>
        <w:pStyle w:val="null3"/>
      </w:pPr>
      <w:r>
        <w:rPr>
          <w:rFonts w:ascii="仿宋_GB2312" w:hAnsi="仿宋_GB2312" w:cs="仿宋_GB2312" w:eastAsia="仿宋_GB2312"/>
        </w:rPr>
        <w:t>3、资格承诺函：（供应商应按照汉中市财政局《关于全面推行政府采购供应商基本资格条件承诺制的通知》（汉采办采管〔2024〕20号）文件要求，需提供加盖公章的《汉中市政府采购供应商资格承诺函》）。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4、控股管理关系声明函：单位负责人为同一人或者存在直接控股、管理关系的不同供应商，不得参加同一合同项下的政府采购活动。（提供加盖公章的《控股管理关系声明函》）；</w:t>
      </w:r>
    </w:p>
    <w:p>
      <w:pPr>
        <w:pStyle w:val="null3"/>
      </w:pPr>
      <w:r>
        <w:rPr>
          <w:rFonts w:ascii="仿宋_GB2312" w:hAnsi="仿宋_GB2312" w:cs="仿宋_GB2312" w:eastAsia="仿宋_GB2312"/>
        </w:rPr>
        <w:t>5、非联合体声明函：本项目不接受联合体磋商。（提供非联合体磋商声明函）</w:t>
      </w:r>
    </w:p>
    <w:p>
      <w:pPr>
        <w:pStyle w:val="null3"/>
      </w:pPr>
      <w:r>
        <w:rPr>
          <w:rFonts w:ascii="仿宋_GB2312" w:hAnsi="仿宋_GB2312" w:cs="仿宋_GB2312" w:eastAsia="仿宋_GB2312"/>
        </w:rPr>
        <w:t>6、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7、资质认定证书：提供具有有效的检验检测机构资质认定证书(CMA)；</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汉中市宁强县羌州北路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汉中市生态环境局宁强分局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0916-4220192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汉中市汉台区风景路18号七中巷对面邮政银行四楼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0916-2691516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开户名称：开瑞项目管理有限公司汉中分公司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银行账号：61050165001500000852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1、本项目合同及合同附件。 2、国家相应的标准、规范。 3、采购文件、响应文件、澄清表（函）。质量验收标准或规范：现行的国家标准或国家行政部门颁布的法律法规、规章制度、采购文件（包括澄清、答疑等）、响应文件。没有国家标准的，可以参考行业标准。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联系人：刘先生</w:t>
      </w:r>
    </w:p>
    <w:p>
      <w:pPr>
        <w:pStyle w:val="null3"/>
      </w:pPr>
      <w:r>
        <w:rPr>
          <w:rFonts w:ascii="仿宋_GB2312" w:hAnsi="仿宋_GB2312" w:cs="仿宋_GB2312" w:eastAsia="仿宋_GB2312"/>
        </w:rPr>
        <w:t>联系电话：0916-2691516</w:t>
      </w:r>
    </w:p>
    <w:p>
      <w:pPr>
        <w:pStyle w:val="null3"/>
      </w:pPr>
      <w:r>
        <w:rPr>
          <w:rFonts w:ascii="仿宋_GB2312" w:hAnsi="仿宋_GB2312" w:cs="仿宋_GB2312" w:eastAsia="仿宋_GB2312"/>
        </w:rPr>
        <w:t>地址：汉中市汉台区风景路18号七中巷对面邮政银行四楼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第三方技术服务单位，主要包括县域地表水、饮用水水源地、农村环境质量、环境质量调查、污染源等监测工作，委托期限为一年。主要功能或目标:按照《宁强县生态环境监测工作方案》要求，按时限完成监测任务，需满足的要求:按照监测任务清单，按照时间进度提供监测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336,800.00</w:t>
      </w:r>
    </w:p>
    <w:p>
      <w:pPr>
        <w:pStyle w:val="null3"/>
      </w:pPr>
      <w:r>
        <w:rPr>
          <w:rFonts w:ascii="仿宋_GB2312" w:hAnsi="仿宋_GB2312" w:cs="仿宋_GB2312" w:eastAsia="仿宋_GB2312"/>
        </w:rPr>
        <w:t>采购包最高限价（元）: 336,800.00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宁强县域地表水、饮用水水源地、农村环境质量、环境质量调查、污染源等监测工作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标的名称：宁强县域地表水、饮用水水源地、农村环境质量、环境质量调查、污染源等监测工作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4"/>
              <w:gridCol w:w="117"/>
              <w:gridCol w:w="187"/>
              <w:gridCol w:w="301"/>
              <w:gridCol w:w="1380"/>
              <w:gridCol w:w="353"/>
              <w:gridCol w:w="155"/>
            </w:tblGrid>
            <w:tr>
              <w:tc>
                <w:tcPr>
                  <w:tcW w:type="dxa" w:w="2547"/>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color w:val="000000"/>
                    </w:rPr>
                    <w:t>宁强县县域生态环境质量监测服务项目</w:t>
                  </w: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序号</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类型</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类别</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断面名称</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频次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采样方式</w:t>
                  </w: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地表水</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国控</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烈金坝</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1.现场监测项目5项:水温、pH值、溶解氧、浊度、电导率。2.实验室分析项目21项。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每月1次，全年共12次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国控</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盐井河陕西出境</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1.现场监测项目5项:水温、pH值、溶解氧、浊度、电导率。2.实验室分析项目21项。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每月1次，全年共12次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国控</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八庙沟</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1.现场监测项目5项:水温、pH值、溶解氧、浊度、电导率。2.实验室分析项目21项。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每月1次，全年共12次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市控</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黑水河</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1.现场监测项目5项:水温、pH值、溶解氧、浊度、电导率。2.实验室分析项目21项。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每月1次，全年共12次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市控</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玉带河</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1.现场监测项目5项:水温、pH值、溶解氧、浊度、电导率。2.实验室分析项目21项。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每月1次，全年共12次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县交界</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巨亭镇</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1.现场监测项目4项:水温、pH值、溶解氧、电导率。2.实验室分析项目21项。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每月1次，全年共12次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县城水源地</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县城二郎坝集中式饮用水水源地保护区监测</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常规分析61项。在取水口上游一级保护区、二级保护区水域边界至少各设置1个监测断面</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每季度1次，全年共4次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tcBorders>
                    <w:top w:val="single" w:color="000000" w:sz="4"/>
                    <w:left w:val="single" w:color="000000" w:sz="4"/>
                    <w:bottom w:val="single" w:color="000000" w:sz="4"/>
                    <w:right w:val="single" w:color="000000" w:sz="4"/>
                  </w:tcBorders>
                </w:tcP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县城东方红饮用水水源地保护区监测</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常规分析61项。在取水口上游一级保护区、二级保护区水域边界至少各设置1个监测断面</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每季度1次，全年共4次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千吨万人水源地</w:t>
                  </w: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地表水型</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后河饮用水源地</w:t>
                  </w:r>
                </w:p>
              </w:tc>
              <w:tc>
                <w:tcPr>
                  <w:tcW w:type="dxa" w:w="13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《地表水环境质量标准》（GB3838-2002）表1的基本项目（23项，化学需氧量除外，河流总氮除外）、表2的补充项目（5项），共28项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每季度1次，全年共4次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tcBorders>
                    <w:top w:val="single" w:color="000000" w:sz="4"/>
                    <w:left w:val="single" w:color="000000" w:sz="4"/>
                    <w:bottom w:val="single" w:color="000000" w:sz="4"/>
                    <w:right w:val="single" w:color="000000" w:sz="4"/>
                  </w:tcBorders>
                </w:tcPr>
                <w:p/>
              </w:tc>
              <w:tc>
                <w:tcPr>
                  <w:tcW w:type="dxa" w:w="117"/>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韩家河饮用水源地</w:t>
                  </w:r>
                </w:p>
              </w:tc>
              <w:tc>
                <w:tcPr>
                  <w:tcW w:type="dxa" w:w="1380"/>
                  <w:vMerge/>
                  <w:tcBorders>
                    <w:top w:val="singl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每季度1次，全年共4次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监督性监测</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污染源</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县城污水处理厂</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出水水质指标19项。《城镇污水处理厂污染物排放标准》表1中12项，表2中7项。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每季度1次，全年共4次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tcBorders>
                    <w:top w:val="single" w:color="000000" w:sz="4"/>
                    <w:left w:val="single" w:color="000000" w:sz="4"/>
                    <w:bottom w:val="single" w:color="000000" w:sz="4"/>
                    <w:right w:val="single" w:color="000000" w:sz="4"/>
                  </w:tcBorders>
                </w:tcP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污染源</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7家砖瓦厂废气监测</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脱硫塔废气排放口：二氧化硫、氮氧化物、颗粒物 氟化物</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全年共1次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1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调查监测</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涉金属矿产开发生态环境综合整治规划水质监测</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4个断面</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项目：PH、铜、砷、汞、铅、锌、铬、镍、铁、锰、铝、钒、钛、铊、硫酸盐，共15项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每月一次，全年12次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送样</w:t>
                  </w:r>
                </w:p>
              </w:tc>
            </w:tr>
            <w:tr>
              <w:tc>
                <w:tcPr>
                  <w:tcW w:type="dxa" w:w="54"/>
                  <w:vMerge/>
                  <w:tcBorders>
                    <w:top w:val="single" w:color="000000" w:sz="4"/>
                    <w:left w:val="single" w:color="000000" w:sz="4"/>
                    <w:bottom w:val="single" w:color="000000" w:sz="4"/>
                    <w:right w:val="single" w:color="000000" w:sz="4"/>
                  </w:tcBorders>
                </w:tcPr>
                <w:p/>
              </w:tc>
              <w:tc>
                <w:tcPr>
                  <w:tcW w:type="dxa" w:w="117"/>
                  <w:vMerge/>
                  <w:tcBorders>
                    <w:top w:val="single" w:color="000000" w:sz="4"/>
                    <w:left w:val="single" w:color="000000" w:sz="4"/>
                    <w:bottom w:val="single" w:color="000000" w:sz="4"/>
                    <w:right w:val="single" w:color="000000" w:sz="4"/>
                  </w:tcBorders>
                </w:tcPr>
                <w:p/>
              </w:tc>
              <w:tc>
                <w:tcPr>
                  <w:tcW w:type="dxa" w:w="1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稻渔种养</w:t>
                  </w:r>
                </w:p>
              </w:tc>
              <w:tc>
                <w:tcPr>
                  <w:tcW w:type="dxa" w:w="3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r>
                    <w:rPr>
                      <w:rFonts w:ascii="仿宋_GB2312" w:hAnsi="仿宋_GB2312" w:cs="仿宋_GB2312" w:eastAsia="仿宋_GB2312"/>
                      <w:sz w:val="20"/>
                      <w:color w:val="000000"/>
                    </w:rPr>
                    <w:t>个企业</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进水：《渔业水质标准》（</w:t>
                  </w:r>
                  <w:r>
                    <w:rPr>
                      <w:rFonts w:ascii="仿宋_GB2312" w:hAnsi="仿宋_GB2312" w:cs="仿宋_GB2312" w:eastAsia="仿宋_GB2312"/>
                      <w:sz w:val="20"/>
                      <w:color w:val="000000"/>
                    </w:rPr>
                    <w:t>GB11607</w:t>
                  </w:r>
                  <w:r>
                    <w:rPr>
                      <w:rFonts w:ascii="仿宋_GB2312" w:hAnsi="仿宋_GB2312" w:cs="仿宋_GB2312" w:eastAsia="仿宋_GB2312"/>
                      <w:sz w:val="20"/>
                      <w:color w:val="000000"/>
                    </w:rPr>
                    <w:t>—</w:t>
                  </w:r>
                  <w:r>
                    <w:rPr>
                      <w:rFonts w:ascii="仿宋_GB2312" w:hAnsi="仿宋_GB2312" w:cs="仿宋_GB2312" w:eastAsia="仿宋_GB2312"/>
                      <w:sz w:val="20"/>
                      <w:color w:val="000000"/>
                    </w:rPr>
                    <w:t>89</w:t>
                  </w:r>
                  <w:r>
                    <w:rPr>
                      <w:rFonts w:ascii="仿宋_GB2312" w:hAnsi="仿宋_GB2312" w:cs="仿宋_GB2312" w:eastAsia="仿宋_GB2312"/>
                      <w:sz w:val="20"/>
                      <w:color w:val="000000"/>
                    </w:rPr>
                    <w:t>）表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w:t>
                  </w:r>
                  <w:r>
                    <w:rPr>
                      <w:rFonts w:ascii="仿宋_GB2312" w:hAnsi="仿宋_GB2312" w:cs="仿宋_GB2312" w:eastAsia="仿宋_GB2312"/>
                      <w:sz w:val="20"/>
                      <w:color w:val="000000"/>
                    </w:rPr>
                    <w:t>33</w:t>
                  </w:r>
                  <w:r>
                    <w:rPr>
                      <w:rFonts w:ascii="仿宋_GB2312" w:hAnsi="仿宋_GB2312" w:cs="仿宋_GB2312" w:eastAsia="仿宋_GB2312"/>
                      <w:sz w:val="20"/>
                      <w:color w:val="000000"/>
                    </w:rPr>
                    <w:t>项</w:t>
                  </w:r>
                </w:p>
              </w:tc>
              <w:tc>
                <w:tcPr>
                  <w:tcW w:type="dxa" w:w="3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半年</w:t>
                  </w:r>
                  <w:r>
                    <w:rPr>
                      <w:rFonts w:ascii="仿宋_GB2312" w:hAnsi="仿宋_GB2312" w:cs="仿宋_GB2312" w:eastAsia="仿宋_GB2312"/>
                      <w:sz w:val="20"/>
                      <w:color w:val="000000"/>
                    </w:rPr>
                    <w:t>1</w:t>
                  </w:r>
                  <w:r>
                    <w:rPr>
                      <w:rFonts w:ascii="仿宋_GB2312" w:hAnsi="仿宋_GB2312" w:cs="仿宋_GB2312" w:eastAsia="仿宋_GB2312"/>
                      <w:sz w:val="20"/>
                      <w:color w:val="000000"/>
                    </w:rPr>
                    <w:t>次，全年</w:t>
                  </w:r>
                  <w:r>
                    <w:rPr>
                      <w:rFonts w:ascii="仿宋_GB2312" w:hAnsi="仿宋_GB2312" w:cs="仿宋_GB2312" w:eastAsia="仿宋_GB2312"/>
                      <w:sz w:val="20"/>
                      <w:color w:val="000000"/>
                    </w:rPr>
                    <w:t>2</w:t>
                  </w:r>
                  <w:r>
                    <w:rPr>
                      <w:rFonts w:ascii="仿宋_GB2312" w:hAnsi="仿宋_GB2312" w:cs="仿宋_GB2312" w:eastAsia="仿宋_GB2312"/>
                      <w:sz w:val="20"/>
                      <w:color w:val="000000"/>
                    </w:rPr>
                    <w:t>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tcBorders>
                    <w:top w:val="single" w:color="000000" w:sz="4"/>
                    <w:left w:val="single" w:color="000000" w:sz="4"/>
                    <w:bottom w:val="single" w:color="000000" w:sz="4"/>
                    <w:right w:val="single" w:color="000000" w:sz="4"/>
                  </w:tcBorders>
                </w:tcPr>
                <w:p/>
              </w:tc>
              <w:tc>
                <w:tcPr>
                  <w:tcW w:type="dxa" w:w="117"/>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301"/>
                  <w:vMerge/>
                  <w:tcBorders>
                    <w:top w:val="single" w:color="000000" w:sz="4"/>
                    <w:left w:val="single" w:color="000000" w:sz="4"/>
                    <w:bottom w:val="single" w:color="000000" w:sz="4"/>
                    <w:right w:val="single" w:color="000000" w:sz="4"/>
                  </w:tcBorders>
                </w:tcP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出水：《淡水池塘养殖水排放要求》（</w:t>
                  </w:r>
                  <w:r>
                    <w:rPr>
                      <w:rFonts w:ascii="仿宋_GB2312" w:hAnsi="仿宋_GB2312" w:cs="仿宋_GB2312" w:eastAsia="仿宋_GB2312"/>
                      <w:sz w:val="20"/>
                      <w:color w:val="000000"/>
                    </w:rPr>
                    <w:t>SC/T 9101</w:t>
                  </w:r>
                  <w:r>
                    <w:rPr>
                      <w:rFonts w:ascii="仿宋_GB2312" w:hAnsi="仿宋_GB2312" w:cs="仿宋_GB2312" w:eastAsia="仿宋_GB2312"/>
                      <w:sz w:val="20"/>
                      <w:color w:val="000000"/>
                    </w:rPr>
                    <w:t>—</w:t>
                  </w:r>
                  <w:r>
                    <w:rPr>
                      <w:rFonts w:ascii="仿宋_GB2312" w:hAnsi="仿宋_GB2312" w:cs="仿宋_GB2312" w:eastAsia="仿宋_GB2312"/>
                      <w:sz w:val="20"/>
                      <w:color w:val="000000"/>
                    </w:rPr>
                    <w:t>2007</w:t>
                  </w:r>
                  <w:r>
                    <w:rPr>
                      <w:rFonts w:ascii="仿宋_GB2312" w:hAnsi="仿宋_GB2312" w:cs="仿宋_GB2312" w:eastAsia="仿宋_GB2312"/>
                      <w:sz w:val="20"/>
                      <w:color w:val="000000"/>
                    </w:rPr>
                    <w:t>）表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w:t>
                  </w:r>
                  <w:r>
                    <w:rPr>
                      <w:rFonts w:ascii="仿宋_GB2312" w:hAnsi="仿宋_GB2312" w:cs="仿宋_GB2312" w:eastAsia="仿宋_GB2312"/>
                      <w:sz w:val="20"/>
                      <w:color w:val="000000"/>
                    </w:rPr>
                    <w:t>10</w:t>
                  </w:r>
                  <w:r>
                    <w:rPr>
                      <w:rFonts w:ascii="仿宋_GB2312" w:hAnsi="仿宋_GB2312" w:cs="仿宋_GB2312" w:eastAsia="仿宋_GB2312"/>
                      <w:sz w:val="20"/>
                      <w:color w:val="000000"/>
                    </w:rPr>
                    <w:t>项。</w:t>
                  </w:r>
                </w:p>
              </w:tc>
              <w:tc>
                <w:tcPr>
                  <w:tcW w:type="dxa" w:w="353"/>
                  <w:vMerge/>
                  <w:tcBorders>
                    <w:top w:val="single" w:color="000000" w:sz="4"/>
                    <w:left w:val="single" w:color="000000" w:sz="4"/>
                    <w:bottom w:val="single" w:color="000000" w:sz="4"/>
                    <w:right w:val="single" w:color="000000" w:sz="4"/>
                  </w:tcBorders>
                </w:tcP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tcBorders>
                    <w:top w:val="single" w:color="000000" w:sz="4"/>
                    <w:left w:val="single" w:color="000000" w:sz="4"/>
                    <w:bottom w:val="single" w:color="000000" w:sz="4"/>
                    <w:right w:val="single" w:color="000000" w:sz="4"/>
                  </w:tcBorders>
                </w:tcPr>
                <w:p/>
              </w:tc>
              <w:tc>
                <w:tcPr>
                  <w:tcW w:type="dxa" w:w="117"/>
                  <w:vMerge/>
                  <w:tcBorders>
                    <w:top w:val="single" w:color="000000" w:sz="4"/>
                    <w:left w:val="single" w:color="000000" w:sz="4"/>
                    <w:bottom w:val="single" w:color="000000" w:sz="4"/>
                    <w:right w:val="single" w:color="000000" w:sz="4"/>
                  </w:tcBorders>
                </w:tcP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地下水区域点位</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县城汉源筒车河村</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《地下水质量标准》表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中29项， pH、硫酸盐、氯化物、铁、锰、铜、锌、铝、挥发性酚类(以苯酚计)、阴离子表面活性剂、耗氧量(CODmn法，以02计)、氨氮(以N计)、硫化物、钠、亚硝酸盐(以N计)、硝酸盐(以N计)、氰化物、氟化物、碘化物、汞、砷、硒、镉、铬(六价)、铅、三氯甲烷、四氯化碳、苯和甲苯。</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一年一次</w:t>
                  </w: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9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从2025年第三季度开始</w:t>
                  </w:r>
                </w:p>
              </w:tc>
            </w:tr>
            <w:tr>
              <w:tc>
                <w:tcPr>
                  <w:tcW w:type="dxa" w:w="54"/>
                  <w:vMerge/>
                  <w:tcBorders>
                    <w:top w:val="single" w:color="000000" w:sz="4"/>
                    <w:left w:val="single" w:color="000000" w:sz="4"/>
                    <w:bottom w:val="single" w:color="000000" w:sz="4"/>
                    <w:right w:val="single" w:color="000000" w:sz="4"/>
                  </w:tcBorders>
                </w:tcP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调查监测</w:t>
                  </w:r>
                </w:p>
              </w:tc>
              <w:tc>
                <w:tcPr>
                  <w:tcW w:type="dxa" w:w="1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稻渔养殖</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暂定5个企业</w:t>
                  </w:r>
                </w:p>
              </w:tc>
              <w:tc>
                <w:tcPr>
                  <w:tcW w:type="dxa" w:w="1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进水：《渔业水质标准》（GB11607—89）表1中33项</w:t>
                  </w:r>
                  <w:r>
                    <w:br/>
                  </w:r>
                  <w:r>
                    <w:rPr>
                      <w:rFonts w:ascii="仿宋_GB2312" w:hAnsi="仿宋_GB2312" w:cs="仿宋_GB2312" w:eastAsia="仿宋_GB2312"/>
                      <w:sz w:val="19"/>
                      <w:color w:val="000000"/>
                    </w:rPr>
                    <w:t xml:space="preserve"> 出水：《淡水池塘养殖水排放要求》（SC/T 9101—2007）表1中10项。</w:t>
                  </w:r>
                </w:p>
              </w:tc>
              <w:tc>
                <w:tcPr>
                  <w:tcW w:type="dxa" w:w="3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及合同附件。2、国家相应的标准、规范。3、采购文件、响应文件、澄清表(函)。质量验收标准或规范:现行的国家标准或国家行政部门版布的法律法规、规章制度、采购文件(包括澄清、答疑等)、响应文件。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份有权终止合同，甚至对供应商讳约行为进行追究。本合同在履行过程中发生的争议，由甲、乙,双方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营业执照或其他证明文件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书；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资格承诺函附件.docx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单位负责人为同一人或者存在直接控股、管理关系的不同供应商，不得参加同一合同项下的政府采购活动。（提供加盖公章的《控股管理关系声明函》）；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本项目不接受联合体磋商。（提供非联合体磋商声明函）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资质认定证书</w:t>
            </w:r>
          </w:p>
        </w:tc>
        <w:tc>
          <w:tcPr>
            <w:tcW w:type="dxa" w:w="3322"/>
          </w:tcPr>
          <w:p>
            <w:pPr>
              <w:pStyle w:val="null3"/>
            </w:pPr>
            <w:r>
              <w:rPr>
                <w:rFonts w:ascii="仿宋_GB2312" w:hAnsi="仿宋_GB2312" w:cs="仿宋_GB2312" w:eastAsia="仿宋_GB2312"/>
              </w:rPr>
              <w:t>提供具有有效的检验检测机构资质认定证书(CMA)；</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磋商报价不超过采购预算价或磋商文件规定的最高限价；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根据供应商提供的项目监测方案进行综合审核（供应商提供监测方案，包括但不限于检测内容、检测方法、检测任务等，要求内容准确、全面，技术先进，思路清晰，逻辑严密，符合相关规范及地方法规要求，有较强的指导性及可操作性。）： （1）总体方案详细、思路清晰，可行性高，对项目方向的理解准确、针对性强，与采购内容及要求契合度高，得（10-15）分； （2）总体方案比较详细、思路较清晰，基本可行，对项目方向的理解较准确、针对性较强，与采购内容及要求契合度较高 ，得（5-9.9）分； （3）总体方案合理性、可行性较差，对项目方向的理解不准确，与采购内容及要求契合度低，得（0.1-4.9）分。无内容不得分。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数据管理</w:t>
            </w:r>
          </w:p>
        </w:tc>
        <w:tc>
          <w:tcPr>
            <w:tcW w:type="dxa" w:w="2492"/>
          </w:tcPr>
          <w:p>
            <w:pPr>
              <w:pStyle w:val="null3"/>
            </w:pPr>
            <w:r>
              <w:rPr>
                <w:rFonts w:ascii="仿宋_GB2312" w:hAnsi="仿宋_GB2312" w:cs="仿宋_GB2312" w:eastAsia="仿宋_GB2312"/>
              </w:rPr>
              <w:t>检测数据的管理针对本项目实际，制定检测数据的管理措施。（1）措施全面、合理、规范，可操作性强得3-5分；（2）措施基本合理，有一定的可操作性得1-2.9分；（3） 措施不太合理，可操作性不强得0.1-0.9 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监测设备</w:t>
            </w:r>
          </w:p>
        </w:tc>
        <w:tc>
          <w:tcPr>
            <w:tcW w:type="dxa" w:w="2492"/>
          </w:tcPr>
          <w:p>
            <w:pPr>
              <w:pStyle w:val="null3"/>
            </w:pPr>
            <w:r>
              <w:rPr>
                <w:rFonts w:ascii="仿宋_GB2312" w:hAnsi="仿宋_GB2312" w:cs="仿宋_GB2312" w:eastAsia="仿宋_GB2312"/>
              </w:rPr>
              <w:t>拟投入本项目检测的相关设备 根据投入的具有符合检测要求的仪器设备，提供仪器设备一览表。从检测设备数量、检测能力进行评审。 （1）设备数量充足、检测能力先进，能够满足大批量样品的检测周期需要得5-3分；（2）设备数量基本满足要求，检测能力基本能保障项目需要得2.9-1分；（3）设备数量存在不足，检测能力有缺陷得0.9-0.1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进度保证方案提供项目实施的进度安排及按时完成工作内容的保证措施。 （1）措施科学、合理、有效，措施到位，针对性完全满足采购需求：（6-10）分；（2）措施基本科学合理，措施基本到位，可以基本满足本项目的服务需求，但个别细节需进一步完善或提高：（3-5.9）分；（3）措施针对性不强：（0.1-2.9）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 针对服务过程中各类突发事件提供应急响应方案。（1）预案详细完整、可行性、针对性强，能高质量的确保项目服务质量，得3-5分；（2）预案相对完整，有一定的可行性及针对性以保证项目质量，得1-2.9分；（3）预案简略、可行性存在不足，得0.1-0.9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服务质量保证措施，结合本项目实际情况，有详细完整的服务质量保证措施。 （1）措施详细完整、可行性、针对性强，能高质量的确保项目服务质量，得10-15分；（2）保障措施相对完整，有一定的可行性及针对性以保证项目质量，得5-9.9分；（3）保障措施简略、可行性存在不足，0.1-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重难点分析及控制措施，根据项目具体情况提出难点、重点进行分析并提出控制措施。（1）分析内容准确，控制措施合理得3-5分；（2）分析内容基本准确，控制措施基本合理得1-2.9分；（3）分析内容和控制措施存在缺陷，无指导性得 0.1-0.9分；未提供相关内容不得分。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团队组成</w:t>
            </w:r>
          </w:p>
        </w:tc>
        <w:tc>
          <w:tcPr>
            <w:tcW w:type="dxa" w:w="2492"/>
          </w:tcPr>
          <w:p>
            <w:pPr>
              <w:pStyle w:val="null3"/>
            </w:pPr>
            <w:r>
              <w:rPr>
                <w:rFonts w:ascii="仿宋_GB2312" w:hAnsi="仿宋_GB2312" w:cs="仿宋_GB2312" w:eastAsia="仿宋_GB2312"/>
              </w:rPr>
              <w:t>拟投入本项目实施服务人员 根据供应商提供的拟派项目实施服务人员情况进行评审。 （1）拟投入人员结构合理，经验丰富，能够满足检测周期需要得5-3分；（2）拟投入人员结构基本合理，有基本的从业经验，基本能够满足检测周期需要得 2.9-1分；（3）拟投入人员结构不够合理，经验有欠缺，不能够满足检测周期需要得0.9-0.1分；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依据供应商的后期服务工作、服务承诺和合理化建议的详尽、切实、可行情况酌情得分：计1～5分。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 2022年1月至今的类似业绩证明(每提供一份得 2.5分)，最高得10分(以投标文件中提供的中标通知书或合同复印件加盖公章为准，时间以签订时间为准)。未提供得0分。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采用低价优先法计算，即通过资格审查和符合性审查且价格最低的有效投标报价为评标基准价，其价格分为满分。 投标报价得分＝ (评标基准价/投标报价) × 20 注：本次采购执行财库〔2020〕46 号文件、财库〔2022〕19 号规定， 对于按规定提供证明或真实声明的供应商，在价格评审时统一给予 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详见附件：资格承诺函附件.docx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