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8"/>
          <w:szCs w:val="28"/>
          <w:highlight w:val="none"/>
          <w:u w:val="single"/>
          <w:lang w:val="en-US" w:eastAsia="zh-CN" w:bidi="ar-SA"/>
        </w:rPr>
      </w:pPr>
    </w:p>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36"/>
          <w:szCs w:val="36"/>
          <w:highlight w:val="none"/>
          <w:u w:val="single"/>
          <w:lang w:val="en-US" w:eastAsia="zh-CN" w:bidi="ar-SA"/>
        </w:rPr>
      </w:pPr>
      <w:r>
        <w:rPr>
          <w:rFonts w:hint="eastAsia" w:ascii="仿宋" w:hAnsi="仿宋" w:eastAsia="仿宋" w:cs="仿宋"/>
          <w:kern w:val="2"/>
          <w:sz w:val="36"/>
          <w:szCs w:val="36"/>
          <w:highlight w:val="none"/>
          <w:u w:val="single"/>
          <w:lang w:val="en-US" w:eastAsia="zh-CN" w:bidi="ar-SA"/>
        </w:rPr>
        <w:t>汉中职业技术学院“一站式”学生社区网上办事大厅建设项目</w:t>
      </w:r>
    </w:p>
    <w:p>
      <w:pPr>
        <w:keepNext w:val="0"/>
        <w:keepLines w:val="0"/>
        <w:pageBreakBefore w:val="0"/>
        <w:widowControl w:val="0"/>
        <w:kinsoku/>
        <w:wordWrap w:val="0"/>
        <w:overflowPunct/>
        <w:topLinePunct/>
        <w:autoSpaceDE/>
        <w:autoSpaceDN/>
        <w:bidi w:val="0"/>
        <w:adjustRightInd/>
        <w:snapToGrid/>
        <w:ind w:firstLine="640" w:firstLineChars="200"/>
        <w:jc w:val="center"/>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 xml:space="preserve"> </w:t>
      </w:r>
    </w:p>
    <w:p>
      <w:pPr>
        <w:keepNext w:val="0"/>
        <w:keepLines w:val="0"/>
        <w:pageBreakBefore w:val="0"/>
        <w:widowControl w:val="0"/>
        <w:kinsoku/>
        <w:wordWrap w:val="0"/>
        <w:overflowPunct/>
        <w:topLinePunct/>
        <w:autoSpaceDE/>
        <w:autoSpaceDN/>
        <w:bidi w:val="0"/>
        <w:adjustRightInd/>
        <w:snapToGrid/>
        <w:ind w:firstLine="640" w:firstLineChars="200"/>
        <w:jc w:val="both"/>
        <w:textAlignment w:val="auto"/>
        <w:rPr>
          <w:rFonts w:hint="default"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采购包号：</w:t>
      </w:r>
    </w:p>
    <w:p>
      <w:pPr>
        <w:keepNext w:val="0"/>
        <w:keepLines w:val="0"/>
        <w:pageBreakBefore w:val="0"/>
        <w:kinsoku/>
        <w:wordWrap w:val="0"/>
        <w:overflowPunct/>
        <w:topLinePunct/>
        <w:autoSpaceDE/>
        <w:autoSpaceDN/>
        <w:bidi w:val="0"/>
        <w:adjustRightInd/>
        <w:snapToGrid/>
        <w:jc w:val="center"/>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合　　同</w:t>
      </w:r>
    </w:p>
    <w:p>
      <w:pPr>
        <w:keepNext w:val="0"/>
        <w:keepLines w:val="0"/>
        <w:pageBreakBefore w:val="0"/>
        <w:widowControl w:val="0"/>
        <w:kinsoku/>
        <w:wordWrap w:val="0"/>
        <w:overflowPunct/>
        <w:topLinePunct/>
        <w:autoSpaceDE/>
        <w:autoSpaceDN/>
        <w:bidi w:val="0"/>
        <w:adjustRightInd/>
        <w:snapToGrid/>
        <w:ind w:firstLine="640" w:firstLineChars="200"/>
        <w:jc w:val="both"/>
        <w:textAlignment w:val="auto"/>
        <w:rPr>
          <w:rFonts w:hint="eastAsia" w:ascii="仿宋" w:hAnsi="仿宋" w:eastAsia="仿宋" w:cs="仿宋"/>
          <w:kern w:val="2"/>
          <w:sz w:val="32"/>
          <w:szCs w:val="32"/>
          <w:highlight w:val="none"/>
          <w:lang w:val="en-US" w:eastAsia="zh-CN" w:bidi="ar-SA"/>
        </w:rPr>
      </w:pPr>
    </w:p>
    <w:p>
      <w:pPr>
        <w:keepNext w:val="0"/>
        <w:keepLines w:val="0"/>
        <w:pageBreakBefore w:val="0"/>
        <w:widowControl w:val="0"/>
        <w:kinsoku/>
        <w:wordWrap w:val="0"/>
        <w:overflowPunct/>
        <w:topLinePunct/>
        <w:autoSpaceDE/>
        <w:autoSpaceDN/>
        <w:bidi w:val="0"/>
        <w:adjustRightInd/>
        <w:snapToGrid/>
        <w:ind w:firstLine="640" w:firstLineChars="200"/>
        <w:jc w:val="both"/>
        <w:textAlignment w:val="auto"/>
        <w:rPr>
          <w:rFonts w:hint="eastAsia" w:ascii="仿宋" w:hAnsi="仿宋" w:eastAsia="仿宋" w:cs="仿宋"/>
          <w:kern w:val="2"/>
          <w:sz w:val="32"/>
          <w:szCs w:val="32"/>
          <w:highlight w:val="none"/>
          <w:lang w:val="en-US" w:eastAsia="zh-CN" w:bidi="ar-SA"/>
        </w:rPr>
      </w:pPr>
    </w:p>
    <w:p>
      <w:pPr>
        <w:keepNext w:val="0"/>
        <w:keepLines w:val="0"/>
        <w:pageBreakBefore w:val="0"/>
        <w:widowControl w:val="0"/>
        <w:kinsoku/>
        <w:wordWrap w:val="0"/>
        <w:overflowPunct/>
        <w:topLinePunct/>
        <w:autoSpaceDE/>
        <w:autoSpaceDN/>
        <w:bidi w:val="0"/>
        <w:adjustRightInd/>
        <w:snapToGrid/>
        <w:ind w:firstLine="640" w:firstLineChars="200"/>
        <w:jc w:val="both"/>
        <w:textAlignment w:val="auto"/>
        <w:rPr>
          <w:rFonts w:hint="eastAsia" w:ascii="仿宋" w:hAnsi="仿宋" w:eastAsia="仿宋" w:cs="仿宋"/>
          <w:kern w:val="2"/>
          <w:sz w:val="32"/>
          <w:szCs w:val="32"/>
          <w:highlight w:val="none"/>
          <w:lang w:val="en-US" w:eastAsia="zh-CN" w:bidi="ar-SA"/>
        </w:rPr>
      </w:pPr>
    </w:p>
    <w:p>
      <w:pPr>
        <w:keepNext w:val="0"/>
        <w:keepLines w:val="0"/>
        <w:pageBreakBefore w:val="0"/>
        <w:widowControl w:val="0"/>
        <w:kinsoku/>
        <w:wordWrap w:val="0"/>
        <w:overflowPunct/>
        <w:topLinePunct/>
        <w:autoSpaceDE/>
        <w:autoSpaceDN/>
        <w:bidi w:val="0"/>
        <w:adjustRightInd/>
        <w:snapToGrid/>
        <w:ind w:firstLine="640" w:firstLineChars="200"/>
        <w:jc w:val="both"/>
        <w:textAlignment w:val="auto"/>
        <w:rPr>
          <w:rFonts w:hint="eastAsia" w:ascii="仿宋" w:hAnsi="仿宋" w:eastAsia="仿宋" w:cs="仿宋"/>
          <w:kern w:val="2"/>
          <w:sz w:val="32"/>
          <w:szCs w:val="32"/>
          <w:highlight w:val="none"/>
          <w:lang w:val="en-US" w:eastAsia="zh-CN" w:bidi="ar-SA"/>
        </w:rPr>
      </w:pPr>
    </w:p>
    <w:p>
      <w:pPr>
        <w:keepNext w:val="0"/>
        <w:keepLines w:val="0"/>
        <w:pageBreakBefore w:val="0"/>
        <w:widowControl w:val="0"/>
        <w:kinsoku/>
        <w:wordWrap w:val="0"/>
        <w:overflowPunct/>
        <w:topLinePunct/>
        <w:autoSpaceDE/>
        <w:autoSpaceDN/>
        <w:bidi w:val="0"/>
        <w:adjustRightInd/>
        <w:snapToGrid/>
        <w:ind w:firstLine="960" w:firstLineChars="300"/>
        <w:jc w:val="both"/>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合同编号：____________________</w:t>
      </w:r>
      <w:r>
        <w:rPr>
          <w:rFonts w:hint="eastAsia" w:ascii="仿宋" w:hAnsi="仿宋" w:eastAsia="仿宋" w:cs="仿宋"/>
          <w:kern w:val="2"/>
          <w:sz w:val="32"/>
          <w:szCs w:val="32"/>
          <w:highlight w:val="none"/>
          <w:lang w:val="en-US" w:eastAsia="zh-CN" w:bidi="ar-SA"/>
        </w:rPr>
        <w:tab/>
      </w:r>
      <w:r>
        <w:rPr>
          <w:rFonts w:hint="eastAsia" w:ascii="仿宋" w:hAnsi="仿宋" w:eastAsia="仿宋" w:cs="仿宋"/>
          <w:kern w:val="2"/>
          <w:sz w:val="32"/>
          <w:szCs w:val="32"/>
          <w:highlight w:val="none"/>
          <w:lang w:val="en-US" w:eastAsia="zh-CN" w:bidi="ar-SA"/>
        </w:rPr>
        <w:tab/>
      </w:r>
      <w:r>
        <w:rPr>
          <w:rFonts w:hint="eastAsia" w:ascii="仿宋" w:hAnsi="仿宋" w:eastAsia="仿宋" w:cs="仿宋"/>
          <w:kern w:val="2"/>
          <w:sz w:val="32"/>
          <w:szCs w:val="32"/>
          <w:highlight w:val="none"/>
          <w:lang w:val="en-US" w:eastAsia="zh-CN" w:bidi="ar-SA"/>
        </w:rPr>
        <w:tab/>
      </w:r>
      <w:r>
        <w:rPr>
          <w:rFonts w:hint="eastAsia" w:ascii="仿宋" w:hAnsi="仿宋" w:eastAsia="仿宋" w:cs="仿宋"/>
          <w:kern w:val="2"/>
          <w:sz w:val="32"/>
          <w:szCs w:val="32"/>
          <w:highlight w:val="none"/>
          <w:lang w:val="en-US" w:eastAsia="zh-CN" w:bidi="ar-SA"/>
        </w:rPr>
        <w:tab/>
      </w:r>
    </w:p>
    <w:p>
      <w:pPr>
        <w:keepNext w:val="0"/>
        <w:keepLines w:val="0"/>
        <w:pageBreakBefore w:val="0"/>
        <w:widowControl w:val="0"/>
        <w:kinsoku/>
        <w:wordWrap w:val="0"/>
        <w:overflowPunct/>
        <w:topLinePunct/>
        <w:autoSpaceDE/>
        <w:autoSpaceDN/>
        <w:bidi w:val="0"/>
        <w:adjustRightInd/>
        <w:snapToGrid/>
        <w:ind w:firstLine="640" w:firstLineChars="200"/>
        <w:jc w:val="both"/>
        <w:textAlignment w:val="auto"/>
        <w:rPr>
          <w:rFonts w:hint="default" w:ascii="仿宋" w:hAnsi="仿宋" w:eastAsia="仿宋" w:cs="仿宋"/>
          <w:kern w:val="2"/>
          <w:sz w:val="32"/>
          <w:szCs w:val="32"/>
          <w:highlight w:val="none"/>
          <w:lang w:val="en-US" w:eastAsia="zh-CN" w:bidi="ar-SA"/>
        </w:rPr>
      </w:pPr>
    </w:p>
    <w:p>
      <w:pPr>
        <w:keepNext w:val="0"/>
        <w:keepLines w:val="0"/>
        <w:pageBreakBefore w:val="0"/>
        <w:widowControl w:val="0"/>
        <w:kinsoku/>
        <w:wordWrap w:val="0"/>
        <w:overflowPunct/>
        <w:topLinePunct/>
        <w:autoSpaceDE/>
        <w:autoSpaceDN/>
        <w:bidi w:val="0"/>
        <w:adjustRightInd/>
        <w:snapToGrid/>
        <w:ind w:firstLine="640" w:firstLineChars="200"/>
        <w:jc w:val="center"/>
        <w:textAlignment w:val="auto"/>
        <w:rPr>
          <w:rFonts w:hint="eastAsia" w:ascii="仿宋" w:hAnsi="仿宋" w:eastAsia="仿宋" w:cs="仿宋"/>
          <w:kern w:val="2"/>
          <w:sz w:val="32"/>
          <w:szCs w:val="32"/>
          <w:highlight w:val="none"/>
          <w:lang w:val="en-US" w:eastAsia="zh-CN" w:bidi="ar-SA"/>
        </w:rPr>
      </w:pPr>
    </w:p>
    <w:p>
      <w:pPr>
        <w:keepNext w:val="0"/>
        <w:keepLines w:val="0"/>
        <w:pageBreakBefore w:val="0"/>
        <w:widowControl w:val="0"/>
        <w:kinsoku/>
        <w:wordWrap w:val="0"/>
        <w:overflowPunct/>
        <w:topLinePunct/>
        <w:autoSpaceDE/>
        <w:autoSpaceDN/>
        <w:bidi w:val="0"/>
        <w:adjustRightInd/>
        <w:snapToGrid/>
        <w:ind w:firstLine="640" w:firstLineChars="200"/>
        <w:jc w:val="center"/>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甲　　方：____________________(采购人名称)</w:t>
      </w:r>
      <w:r>
        <w:rPr>
          <w:rFonts w:hint="eastAsia" w:ascii="仿宋" w:hAnsi="仿宋" w:eastAsia="仿宋" w:cs="仿宋"/>
          <w:kern w:val="2"/>
          <w:sz w:val="32"/>
          <w:szCs w:val="32"/>
          <w:highlight w:val="none"/>
          <w:lang w:val="en-US" w:eastAsia="zh-CN" w:bidi="ar-SA"/>
        </w:rPr>
        <w:tab/>
      </w:r>
    </w:p>
    <w:p>
      <w:pPr>
        <w:keepNext w:val="0"/>
        <w:keepLines w:val="0"/>
        <w:pageBreakBefore w:val="0"/>
        <w:widowControl w:val="0"/>
        <w:kinsoku/>
        <w:wordWrap w:val="0"/>
        <w:overflowPunct/>
        <w:topLinePunct/>
        <w:autoSpaceDE/>
        <w:autoSpaceDN/>
        <w:bidi w:val="0"/>
        <w:adjustRightInd/>
        <w:snapToGrid/>
        <w:ind w:firstLine="640" w:firstLineChars="200"/>
        <w:jc w:val="center"/>
        <w:textAlignment w:val="auto"/>
        <w:rPr>
          <w:rFonts w:hint="eastAsia" w:ascii="仿宋" w:hAnsi="仿宋" w:eastAsia="仿宋" w:cs="仿宋"/>
          <w:kern w:val="2"/>
          <w:sz w:val="32"/>
          <w:szCs w:val="32"/>
          <w:highlight w:val="none"/>
          <w:lang w:val="en-US" w:eastAsia="zh-CN" w:bidi="ar-SA"/>
        </w:rPr>
      </w:pPr>
    </w:p>
    <w:p>
      <w:pPr>
        <w:keepNext w:val="0"/>
        <w:keepLines w:val="0"/>
        <w:pageBreakBefore w:val="0"/>
        <w:widowControl w:val="0"/>
        <w:kinsoku/>
        <w:wordWrap w:val="0"/>
        <w:overflowPunct/>
        <w:topLinePunct/>
        <w:autoSpaceDE/>
        <w:autoSpaceDN/>
        <w:bidi w:val="0"/>
        <w:adjustRightInd/>
        <w:snapToGrid/>
        <w:ind w:firstLine="640" w:firstLineChars="200"/>
        <w:jc w:val="center"/>
        <w:textAlignment w:val="auto"/>
        <w:rPr>
          <w:rFonts w:hint="eastAsia" w:ascii="仿宋" w:hAnsi="仿宋" w:eastAsia="仿宋" w:cs="仿宋"/>
          <w:kern w:val="2"/>
          <w:sz w:val="32"/>
          <w:szCs w:val="32"/>
          <w:highlight w:val="none"/>
          <w:lang w:val="en-US" w:eastAsia="zh-CN" w:bidi="ar-SA"/>
        </w:rPr>
      </w:pPr>
    </w:p>
    <w:p>
      <w:pPr>
        <w:keepNext w:val="0"/>
        <w:keepLines w:val="0"/>
        <w:pageBreakBefore w:val="0"/>
        <w:widowControl w:val="0"/>
        <w:kinsoku/>
        <w:wordWrap w:val="0"/>
        <w:overflowPunct/>
        <w:topLinePunct/>
        <w:autoSpaceDE/>
        <w:autoSpaceDN/>
        <w:bidi w:val="0"/>
        <w:adjustRightInd/>
        <w:snapToGrid/>
        <w:ind w:firstLine="640" w:firstLineChars="200"/>
        <w:jc w:val="center"/>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乙　　方：____________________(中标人名称)</w:t>
      </w:r>
    </w:p>
    <w:p>
      <w:pPr>
        <w:keepNext w:val="0"/>
        <w:keepLines w:val="0"/>
        <w:pageBreakBefore w:val="0"/>
        <w:widowControl w:val="0"/>
        <w:kinsoku/>
        <w:wordWrap w:val="0"/>
        <w:overflowPunct/>
        <w:topLinePunct/>
        <w:autoSpaceDE/>
        <w:autoSpaceDN/>
        <w:bidi w:val="0"/>
        <w:adjustRightInd/>
        <w:snapToGrid/>
        <w:spacing w:line="336" w:lineRule="auto"/>
        <w:ind w:firstLine="600" w:firstLineChars="3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br w:type="page"/>
      </w:r>
      <w:r>
        <w:rPr>
          <w:rFonts w:hint="eastAsia" w:ascii="仿宋" w:hAnsi="仿宋" w:eastAsia="仿宋" w:cs="仿宋"/>
          <w:kern w:val="2"/>
          <w:sz w:val="20"/>
          <w:szCs w:val="20"/>
          <w:highlight w:val="none"/>
          <w:lang w:val="en-US" w:eastAsia="zh-CN" w:bidi="ar-SA"/>
        </w:rPr>
        <w:t>根据《中华人民共和国政府采购法》、《中华人民共和国民法典》等有关法律法规规定，____________(采购人名称)(以下简称：“甲方”)通过______采购(采购方式)确定______(中标人名称)(以下简称：“乙方”)为______项目(项目名称)的______投标人。甲乙双方同意签署《______项目(项目名称)合同》(合同编号：______，以下简称：“合同”)。</w:t>
      </w:r>
    </w:p>
    <w:p>
      <w:pPr>
        <w:keepNext w:val="0"/>
        <w:keepLines w:val="0"/>
        <w:pageBreakBefore w:val="0"/>
        <w:widowControl w:val="0"/>
        <w:kinsoku/>
        <w:wordWrap w:val="0"/>
        <w:overflowPunct/>
        <w:topLinePunct/>
        <w:autoSpaceDE/>
        <w:autoSpaceDN/>
        <w:bidi w:val="0"/>
        <w:adjustRightInd/>
        <w:snapToGrid/>
        <w:spacing w:line="336"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1.合同文件</w:t>
      </w:r>
    </w:p>
    <w:p>
      <w:pPr>
        <w:keepNext w:val="0"/>
        <w:keepLines w:val="0"/>
        <w:pageBreakBefore w:val="0"/>
        <w:widowControl w:val="0"/>
        <w:kinsoku/>
        <w:wordWrap w:val="0"/>
        <w:overflowPunct/>
        <w:topLinePunct/>
        <w:autoSpaceDE/>
        <w:autoSpaceDN/>
        <w:bidi w:val="0"/>
        <w:adjustRightInd/>
        <w:snapToGrid/>
        <w:spacing w:line="336"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下列文件是构成本合同不可分割的部分：</w:t>
      </w:r>
    </w:p>
    <w:p>
      <w:pPr>
        <w:keepNext w:val="0"/>
        <w:keepLines w:val="0"/>
        <w:pageBreakBefore w:val="0"/>
        <w:widowControl w:val="0"/>
        <w:kinsoku/>
        <w:wordWrap w:val="0"/>
        <w:overflowPunct/>
        <w:topLinePunct/>
        <w:autoSpaceDE/>
        <w:autoSpaceDN/>
        <w:bidi w:val="0"/>
        <w:adjustRightInd/>
        <w:snapToGrid/>
        <w:spacing w:line="336"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(1)合同条款；</w:t>
      </w:r>
    </w:p>
    <w:p>
      <w:pPr>
        <w:keepNext w:val="0"/>
        <w:keepLines w:val="0"/>
        <w:pageBreakBefore w:val="0"/>
        <w:widowControl w:val="0"/>
        <w:kinsoku/>
        <w:wordWrap w:val="0"/>
        <w:overflowPunct/>
        <w:topLinePunct/>
        <w:autoSpaceDE/>
        <w:autoSpaceDN/>
        <w:bidi w:val="0"/>
        <w:adjustRightInd/>
        <w:snapToGrid/>
        <w:spacing w:line="336"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(2)中标通知书；</w:t>
      </w:r>
    </w:p>
    <w:p>
      <w:pPr>
        <w:keepNext w:val="0"/>
        <w:keepLines w:val="0"/>
        <w:pageBreakBefore w:val="0"/>
        <w:widowControl w:val="0"/>
        <w:kinsoku/>
        <w:wordWrap w:val="0"/>
        <w:overflowPunct/>
        <w:topLinePunct/>
        <w:autoSpaceDE/>
        <w:autoSpaceDN/>
        <w:bidi w:val="0"/>
        <w:adjustRightInd/>
        <w:snapToGrid/>
        <w:spacing w:line="336"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(3)招标文件</w:t>
      </w:r>
    </w:p>
    <w:p>
      <w:pPr>
        <w:keepNext w:val="0"/>
        <w:keepLines w:val="0"/>
        <w:pageBreakBefore w:val="0"/>
        <w:widowControl w:val="0"/>
        <w:kinsoku/>
        <w:wordWrap w:val="0"/>
        <w:overflowPunct/>
        <w:topLinePunct/>
        <w:autoSpaceDE/>
        <w:autoSpaceDN/>
        <w:bidi w:val="0"/>
        <w:adjustRightInd/>
        <w:snapToGrid/>
        <w:spacing w:line="336"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(4)投标文件；</w:t>
      </w:r>
    </w:p>
    <w:p>
      <w:pPr>
        <w:keepNext w:val="0"/>
        <w:keepLines w:val="0"/>
        <w:pageBreakBefore w:val="0"/>
        <w:widowControl w:val="0"/>
        <w:kinsoku/>
        <w:wordWrap w:val="0"/>
        <w:overflowPunct/>
        <w:topLinePunct/>
        <w:autoSpaceDE/>
        <w:autoSpaceDN/>
        <w:bidi w:val="0"/>
        <w:adjustRightInd/>
        <w:snapToGrid/>
        <w:spacing w:line="336"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(5)其他。</w:t>
      </w:r>
    </w:p>
    <w:p>
      <w:pPr>
        <w:keepNext w:val="0"/>
        <w:keepLines w:val="0"/>
        <w:pageBreakBefore w:val="0"/>
        <w:widowControl w:val="0"/>
        <w:kinsoku/>
        <w:wordWrap w:val="0"/>
        <w:overflowPunct/>
        <w:topLinePunct/>
        <w:autoSpaceDE/>
        <w:autoSpaceDN/>
        <w:bidi w:val="0"/>
        <w:adjustRightInd/>
        <w:snapToGrid/>
        <w:spacing w:line="336"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2.合同标的</w:t>
      </w:r>
    </w:p>
    <w:tbl>
      <w:tblPr>
        <w:tblStyle w:val="8"/>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服务名称</w:t>
            </w:r>
          </w:p>
        </w:tc>
        <w:tc>
          <w:tcPr>
            <w:tcW w:w="816"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数量</w:t>
            </w:r>
          </w:p>
        </w:tc>
        <w:tc>
          <w:tcPr>
            <w:tcW w:w="816"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单位</w:t>
            </w:r>
          </w:p>
        </w:tc>
        <w:tc>
          <w:tcPr>
            <w:tcW w:w="5164"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具体服务承诺(包含但不限于服务内容、范围和基本要求)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c>
          <w:tcPr>
            <w:tcW w:w="816"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c>
          <w:tcPr>
            <w:tcW w:w="816"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项</w:t>
            </w:r>
          </w:p>
        </w:tc>
        <w:tc>
          <w:tcPr>
            <w:tcW w:w="5164"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w:t>
            </w:r>
          </w:p>
        </w:tc>
        <w:tc>
          <w:tcPr>
            <w:tcW w:w="816"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c>
          <w:tcPr>
            <w:tcW w:w="816"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c>
          <w:tcPr>
            <w:tcW w:w="5164"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r>
    </w:tbl>
    <w:p>
      <w:pPr>
        <w:keepNext w:val="0"/>
        <w:keepLines w:val="0"/>
        <w:pageBreakBefore w:val="0"/>
        <w:widowControl w:val="0"/>
        <w:kinsoku/>
        <w:wordWrap w:val="0"/>
        <w:overflowPunct/>
        <w:topLinePunct/>
        <w:autoSpaceDE/>
        <w:autoSpaceDN/>
        <w:bidi w:val="0"/>
        <w:adjustRightInd/>
        <w:snapToGrid/>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3.合同金额及付款方式</w:t>
      </w:r>
    </w:p>
    <w:p>
      <w:pPr>
        <w:keepNext w:val="0"/>
        <w:keepLines w:val="0"/>
        <w:pageBreakBefore w:val="0"/>
        <w:widowControl w:val="0"/>
        <w:kinsoku/>
        <w:wordWrap w:val="0"/>
        <w:overflowPunct/>
        <w:topLinePunct/>
        <w:autoSpaceDE/>
        <w:autoSpaceDN/>
        <w:bidi w:val="0"/>
        <w:adjustRightInd/>
        <w:snapToGrid/>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3.1合同金额</w:t>
      </w:r>
    </w:p>
    <w:p>
      <w:pPr>
        <w:keepNext w:val="0"/>
        <w:keepLines w:val="0"/>
        <w:pageBreakBefore w:val="0"/>
        <w:widowControl w:val="0"/>
        <w:kinsoku/>
        <w:wordWrap w:val="0"/>
        <w:overflowPunct/>
        <w:topLinePunct/>
        <w:autoSpaceDE/>
        <w:autoSpaceDN/>
        <w:bidi w:val="0"/>
        <w:adjustRightInd/>
        <w:snapToGrid/>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合同总金额为人民币______元(¥______)。双方应在签署本合同前明确上述金额的具体数值。本合同金额已包含但不限于乙方为提供服务所产生的全部成本、预期利益、售后服务、税费和合同中规定乙方应承担的其他义务的费用等。</w:t>
      </w:r>
    </w:p>
    <w:p>
      <w:pPr>
        <w:keepNext w:val="0"/>
        <w:keepLines w:val="0"/>
        <w:pageBreakBefore w:val="0"/>
        <w:widowControl/>
        <w:kinsoku/>
        <w:wordWrap/>
        <w:overflowPunct/>
        <w:topLinePunct w:val="0"/>
        <w:autoSpaceDE/>
        <w:autoSpaceDN/>
        <w:bidi w:val="0"/>
        <w:adjustRightInd/>
        <w:snapToGrid/>
        <w:ind w:firstLine="400" w:firstLineChars="200"/>
        <w:textAlignment w:val="auto"/>
        <w:rPr>
          <w:rFonts w:hint="eastAsia" w:ascii="仿宋" w:hAnsi="仿宋" w:eastAsia="仿宋" w:cs="仿宋"/>
          <w:sz w:val="20"/>
          <w:szCs w:val="20"/>
          <w:highlight w:val="none"/>
          <w:shd w:val="clear" w:color="auto" w:fill="auto"/>
          <w:lang w:val="en-US" w:eastAsia="zh-CN"/>
        </w:rPr>
      </w:pPr>
      <w:r>
        <w:rPr>
          <w:rFonts w:hint="eastAsia" w:ascii="仿宋" w:hAnsi="仿宋" w:eastAsia="仿宋" w:cs="仿宋"/>
          <w:sz w:val="20"/>
          <w:szCs w:val="20"/>
          <w:highlight w:val="none"/>
          <w:shd w:val="clear" w:color="auto" w:fill="auto"/>
          <w:lang w:val="en-US" w:eastAsia="zh-Hans"/>
        </w:rPr>
        <w:t>3.2付款方式</w:t>
      </w:r>
      <w:r>
        <w:rPr>
          <w:rFonts w:hint="eastAsia" w:ascii="仿宋" w:hAnsi="仿宋" w:eastAsia="仿宋" w:cs="仿宋"/>
          <w:sz w:val="20"/>
          <w:szCs w:val="20"/>
          <w:highlight w:val="none"/>
          <w:shd w:val="clear" w:color="auto" w:fill="auto"/>
          <w:lang w:val="en-US" w:eastAsia="zh-CN"/>
        </w:rPr>
        <w:t>:</w:t>
      </w:r>
    </w:p>
    <w:p>
      <w:pPr>
        <w:pStyle w:val="10"/>
        <w:ind w:firstLine="400" w:firstLineChars="200"/>
        <w:rPr>
          <w:highlight w:val="none"/>
          <w:shd w:val="clear" w:color="auto" w:fill="auto"/>
        </w:rPr>
      </w:pPr>
      <w:r>
        <w:rPr>
          <w:rFonts w:ascii="仿宋_GB2312" w:hAnsi="仿宋_GB2312" w:eastAsia="仿宋_GB2312" w:cs="仿宋_GB2312"/>
          <w:highlight w:val="none"/>
          <w:shd w:val="clear" w:color="auto" w:fill="auto"/>
        </w:rPr>
        <w:t>采购包1：</w:t>
      </w:r>
      <w:r>
        <w:rPr>
          <w:rFonts w:hint="eastAsia" w:ascii="仿宋_GB2312" w:hAnsi="仿宋_GB2312" w:eastAsia="仿宋_GB2312" w:cs="仿宋_GB2312"/>
          <w:highlight w:val="none"/>
          <w:shd w:val="clear" w:color="auto" w:fill="auto"/>
        </w:rPr>
        <w:t>付款条件说明：验收合格一次付款，达到付款条件起   资金支付时间在发票开具之日起15日内，支付合同总金额的 100 %。</w:t>
      </w:r>
    </w:p>
    <w:p>
      <w:pPr>
        <w:keepNext w:val="0"/>
        <w:keepLines w:val="0"/>
        <w:pageBreakBefore w:val="0"/>
        <w:widowControl w:val="0"/>
        <w:kinsoku/>
        <w:wordWrap w:val="0"/>
        <w:overflowPunct/>
        <w:topLinePunct/>
        <w:autoSpaceDE/>
        <w:autoSpaceDN/>
        <w:bidi w:val="0"/>
        <w:adjustRightInd/>
        <w:snapToGrid/>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4.服务要求：</w:t>
      </w:r>
    </w:p>
    <w:p>
      <w:pPr>
        <w:ind w:firstLine="420" w:firstLineChars="200"/>
        <w:rPr>
          <w:rFonts w:hint="eastAsia" w:ascii="仿宋_GB2312" w:hAnsi="仿宋_GB2312" w:eastAsia="仿宋_GB2312" w:cs="仿宋_GB2312"/>
          <w:highlight w:val="none"/>
          <w:shd w:val="clear" w:color="auto" w:fill="auto"/>
          <w:lang w:val="en-US" w:eastAsia="zh-CN"/>
        </w:rPr>
      </w:pPr>
      <w:r>
        <w:rPr>
          <w:rFonts w:hint="eastAsia" w:ascii="仿宋_GB2312" w:hAnsi="仿宋_GB2312" w:eastAsia="仿宋_GB2312" w:cs="仿宋_GB2312"/>
          <w:highlight w:val="none"/>
          <w:shd w:val="clear" w:color="auto" w:fill="auto"/>
          <w:lang w:val="en-US" w:eastAsia="zh-CN"/>
        </w:rPr>
        <w:t>采购包1：</w:t>
      </w:r>
    </w:p>
    <w:p>
      <w:pPr>
        <w:keepNext w:val="0"/>
        <w:keepLines w:val="0"/>
        <w:pageBreakBefore w:val="0"/>
        <w:widowControl w:val="0"/>
        <w:kinsoku/>
        <w:wordWrap w:val="0"/>
        <w:overflowPunct/>
        <w:topLinePunct/>
        <w:autoSpaceDE/>
        <w:autoSpaceDN/>
        <w:bidi w:val="0"/>
        <w:adjustRightInd/>
        <w:snapToGrid/>
        <w:ind w:firstLine="400" w:firstLineChars="200"/>
        <w:jc w:val="both"/>
        <w:textAlignment w:val="auto"/>
        <w:rPr>
          <w:rFonts w:hint="default"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合同履行期限： 180日历天</w:t>
      </w:r>
    </w:p>
    <w:p>
      <w:pPr>
        <w:keepNext w:val="0"/>
        <w:keepLines w:val="0"/>
        <w:pageBreakBefore w:val="0"/>
        <w:widowControl w:val="0"/>
        <w:kinsoku/>
        <w:wordWrap w:val="0"/>
        <w:overflowPunct/>
        <w:topLinePunct/>
        <w:autoSpaceDE/>
        <w:autoSpaceDN/>
        <w:bidi w:val="0"/>
        <w:adjustRightInd/>
        <w:snapToGrid/>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5.合同生效</w:t>
      </w:r>
    </w:p>
    <w:p>
      <w:pPr>
        <w:keepNext w:val="0"/>
        <w:keepLines w:val="0"/>
        <w:pageBreakBefore w:val="0"/>
        <w:widowControl w:val="0"/>
        <w:kinsoku/>
        <w:wordWrap w:val="0"/>
        <w:overflowPunct/>
        <w:topLinePunct/>
        <w:autoSpaceDE/>
        <w:autoSpaceDN/>
        <w:bidi w:val="0"/>
        <w:adjustRightInd/>
        <w:snapToGrid/>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本合同一式伍份，甲方执贰份、乙方执贰份、采购代理机构（见证方）执壹份。在甲、乙双方法定代表人或授权代表及见证方签字、盖章，并甲方收到乙方提交的履约保函后生效。</w:t>
      </w:r>
    </w:p>
    <w:p>
      <w:pPr>
        <w:keepNext w:val="0"/>
        <w:keepLines w:val="0"/>
        <w:pageBreakBefore w:val="0"/>
        <w:widowControl w:val="0"/>
        <w:kinsoku/>
        <w:wordWrap w:val="0"/>
        <w:overflowPunct/>
        <w:topLinePunct/>
        <w:autoSpaceDE/>
        <w:autoSpaceDN/>
        <w:bidi w:val="0"/>
        <w:adjustRightInd/>
        <w:snapToGrid/>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6.其他约定：见证方只见证合同金额。</w:t>
      </w:r>
    </w:p>
    <w:p>
      <w:pPr>
        <w:keepNext w:val="0"/>
        <w:keepLines w:val="0"/>
        <w:pageBreakBefore w:val="0"/>
        <w:widowControl w:val="0"/>
        <w:kinsoku/>
        <w:wordWrap w:val="0"/>
        <w:overflowPunct/>
        <w:topLinePunct/>
        <w:autoSpaceDE/>
        <w:autoSpaceDN/>
        <w:bidi w:val="0"/>
        <w:adjustRightInd/>
        <w:snapToGrid/>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br w:type="page"/>
      </w:r>
    </w:p>
    <w:tbl>
      <w:tblPr>
        <w:tblStyle w:val="8"/>
        <w:tblW w:w="8520" w:type="dxa"/>
        <w:tblInd w:w="0" w:type="dxa"/>
        <w:tblLayout w:type="fixed"/>
        <w:tblCellMar>
          <w:top w:w="0" w:type="dxa"/>
          <w:left w:w="108" w:type="dxa"/>
          <w:bottom w:w="0" w:type="dxa"/>
          <w:right w:w="108" w:type="dxa"/>
        </w:tblCellMar>
      </w:tblPr>
      <w:tblGrid>
        <w:gridCol w:w="4404"/>
        <w:gridCol w:w="4116"/>
      </w:tblGrid>
      <w:tr>
        <w:tblPrEx>
          <w:tblCellMar>
            <w:top w:w="0" w:type="dxa"/>
            <w:left w:w="108" w:type="dxa"/>
            <w:bottom w:w="0" w:type="dxa"/>
            <w:right w:w="108" w:type="dxa"/>
          </w:tblCellMar>
        </w:tblPrEx>
        <w:trPr>
          <w:trHeight w:val="390" w:hRule="atLeast"/>
        </w:trPr>
        <w:tc>
          <w:tcPr>
            <w:tcW w:w="4404"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甲  方</w:t>
            </w:r>
          </w:p>
        </w:tc>
        <w:tc>
          <w:tcPr>
            <w:tcW w:w="4116" w:type="dxa"/>
            <w:tcBorders>
              <w:top w:val="single" w:color="auto" w:sz="8" w:space="0"/>
              <w:left w:val="nil"/>
              <w:bottom w:val="single" w:color="auto"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乙  方</w:t>
            </w:r>
          </w:p>
        </w:tc>
      </w:tr>
      <w:tr>
        <w:tblPrEx>
          <w:tblCellMar>
            <w:top w:w="0" w:type="dxa"/>
            <w:left w:w="108" w:type="dxa"/>
            <w:bottom w:w="0" w:type="dxa"/>
            <w:right w:w="108" w:type="dxa"/>
          </w:tblCellMar>
        </w:tblPrEx>
        <w:trPr>
          <w:trHeight w:val="735" w:hRule="atLeast"/>
        </w:trPr>
        <w:tc>
          <w:tcPr>
            <w:tcW w:w="4404" w:type="dxa"/>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center"/>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（盖章）</w:t>
            </w:r>
          </w:p>
        </w:tc>
        <w:tc>
          <w:tcPr>
            <w:tcW w:w="4116" w:type="dxa"/>
            <w:tcBorders>
              <w:top w:val="nil"/>
              <w:left w:val="nil"/>
              <w:bottom w:val="nil"/>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center"/>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（盖章）</w:t>
            </w:r>
          </w:p>
        </w:tc>
      </w:tr>
      <w:tr>
        <w:tblPrEx>
          <w:tblCellMar>
            <w:top w:w="0" w:type="dxa"/>
            <w:left w:w="108" w:type="dxa"/>
            <w:bottom w:w="0" w:type="dxa"/>
            <w:right w:w="108" w:type="dxa"/>
          </w:tblCellMar>
        </w:tblPrEx>
        <w:trPr>
          <w:trHeight w:val="235" w:hRule="atLeast"/>
        </w:trPr>
        <w:tc>
          <w:tcPr>
            <w:tcW w:w="4404" w:type="dxa"/>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p>
        </w:tc>
        <w:tc>
          <w:tcPr>
            <w:tcW w:w="4116" w:type="dxa"/>
            <w:tcBorders>
              <w:top w:val="nil"/>
              <w:left w:val="nil"/>
              <w:bottom w:val="single" w:color="auto"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center"/>
              <w:textAlignment w:val="auto"/>
              <w:rPr>
                <w:rFonts w:hint="eastAsia" w:ascii="仿宋" w:hAnsi="仿宋" w:eastAsia="仿宋" w:cs="仿宋"/>
                <w:color w:val="000000"/>
                <w:kern w:val="0"/>
                <w:sz w:val="20"/>
                <w:szCs w:val="20"/>
                <w:highlight w:val="none"/>
              </w:rPr>
            </w:pPr>
          </w:p>
        </w:tc>
      </w:tr>
      <w:tr>
        <w:tblPrEx>
          <w:tblCellMar>
            <w:top w:w="0" w:type="dxa"/>
            <w:left w:w="108" w:type="dxa"/>
            <w:bottom w:w="0" w:type="dxa"/>
            <w:right w:w="108" w:type="dxa"/>
          </w:tblCellMar>
        </w:tblPrEx>
        <w:trPr>
          <w:trHeight w:val="390" w:hRule="atLeast"/>
        </w:trPr>
        <w:tc>
          <w:tcPr>
            <w:tcW w:w="4404"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地址：</w:t>
            </w:r>
          </w:p>
        </w:tc>
        <w:tc>
          <w:tcPr>
            <w:tcW w:w="4116" w:type="dxa"/>
            <w:tcBorders>
              <w:top w:val="nil"/>
              <w:left w:val="nil"/>
              <w:bottom w:val="single" w:color="auto"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地址：</w:t>
            </w:r>
          </w:p>
        </w:tc>
      </w:tr>
      <w:tr>
        <w:tblPrEx>
          <w:tblCellMar>
            <w:top w:w="0" w:type="dxa"/>
            <w:left w:w="108" w:type="dxa"/>
            <w:bottom w:w="0" w:type="dxa"/>
            <w:right w:w="108" w:type="dxa"/>
          </w:tblCellMar>
        </w:tblPrEx>
        <w:trPr>
          <w:trHeight w:val="390" w:hRule="atLeast"/>
        </w:trPr>
        <w:tc>
          <w:tcPr>
            <w:tcW w:w="4404"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邮编：</w:t>
            </w:r>
          </w:p>
        </w:tc>
        <w:tc>
          <w:tcPr>
            <w:tcW w:w="4116" w:type="dxa"/>
            <w:tcBorders>
              <w:top w:val="nil"/>
              <w:left w:val="nil"/>
              <w:bottom w:val="single" w:color="auto"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邮编：</w:t>
            </w:r>
          </w:p>
        </w:tc>
      </w:tr>
      <w:tr>
        <w:tblPrEx>
          <w:tblCellMar>
            <w:top w:w="0" w:type="dxa"/>
            <w:left w:w="108" w:type="dxa"/>
            <w:bottom w:w="0" w:type="dxa"/>
            <w:right w:w="108" w:type="dxa"/>
          </w:tblCellMar>
        </w:tblPrEx>
        <w:trPr>
          <w:trHeight w:val="576" w:hRule="atLeast"/>
        </w:trPr>
        <w:tc>
          <w:tcPr>
            <w:tcW w:w="4404" w:type="dxa"/>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全权代表：（签字）</w:t>
            </w:r>
          </w:p>
        </w:tc>
        <w:tc>
          <w:tcPr>
            <w:tcW w:w="4116" w:type="dxa"/>
            <w:tcBorders>
              <w:top w:val="nil"/>
              <w:left w:val="nil"/>
              <w:bottom w:val="single" w:color="auto"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法定代表人：</w:t>
            </w:r>
          </w:p>
        </w:tc>
      </w:tr>
      <w:tr>
        <w:tblPrEx>
          <w:tblCellMar>
            <w:top w:w="0" w:type="dxa"/>
            <w:left w:w="108" w:type="dxa"/>
            <w:bottom w:w="0" w:type="dxa"/>
            <w:right w:w="108" w:type="dxa"/>
          </w:tblCellMar>
        </w:tblPrEx>
        <w:trPr>
          <w:trHeight w:val="502" w:hRule="atLeast"/>
        </w:trPr>
        <w:tc>
          <w:tcPr>
            <w:tcW w:w="4404" w:type="dxa"/>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p>
        </w:tc>
        <w:tc>
          <w:tcPr>
            <w:tcW w:w="4116" w:type="dxa"/>
            <w:tcBorders>
              <w:top w:val="nil"/>
              <w:left w:val="nil"/>
              <w:bottom w:val="single" w:color="auto"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被授权代表：（签字）</w:t>
            </w:r>
          </w:p>
        </w:tc>
      </w:tr>
      <w:tr>
        <w:tblPrEx>
          <w:tblCellMar>
            <w:top w:w="0" w:type="dxa"/>
            <w:left w:w="108" w:type="dxa"/>
            <w:bottom w:w="0" w:type="dxa"/>
            <w:right w:w="108" w:type="dxa"/>
          </w:tblCellMar>
        </w:tblPrEx>
        <w:trPr>
          <w:trHeight w:val="390" w:hRule="atLeast"/>
        </w:trPr>
        <w:tc>
          <w:tcPr>
            <w:tcW w:w="4404"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电话：</w:t>
            </w:r>
          </w:p>
        </w:tc>
        <w:tc>
          <w:tcPr>
            <w:tcW w:w="4116" w:type="dxa"/>
            <w:tcBorders>
              <w:top w:val="nil"/>
              <w:left w:val="nil"/>
              <w:bottom w:val="single" w:color="auto"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电话：</w:t>
            </w:r>
          </w:p>
        </w:tc>
      </w:tr>
      <w:tr>
        <w:tblPrEx>
          <w:tblCellMar>
            <w:top w:w="0" w:type="dxa"/>
            <w:left w:w="108" w:type="dxa"/>
            <w:bottom w:w="0" w:type="dxa"/>
            <w:right w:w="108" w:type="dxa"/>
          </w:tblCellMar>
        </w:tblPrEx>
        <w:trPr>
          <w:trHeight w:val="390" w:hRule="atLeast"/>
        </w:trPr>
        <w:tc>
          <w:tcPr>
            <w:tcW w:w="4404" w:type="dxa"/>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传真：</w:t>
            </w:r>
          </w:p>
        </w:tc>
        <w:tc>
          <w:tcPr>
            <w:tcW w:w="4116" w:type="dxa"/>
            <w:tcBorders>
              <w:top w:val="nil"/>
              <w:left w:val="nil"/>
              <w:bottom w:val="single" w:color="auto"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传真：</w:t>
            </w:r>
          </w:p>
        </w:tc>
      </w:tr>
      <w:tr>
        <w:tblPrEx>
          <w:tblCellMar>
            <w:top w:w="0" w:type="dxa"/>
            <w:left w:w="108" w:type="dxa"/>
            <w:bottom w:w="0" w:type="dxa"/>
            <w:right w:w="108" w:type="dxa"/>
          </w:tblCellMar>
        </w:tblPrEx>
        <w:trPr>
          <w:trHeight w:val="390" w:hRule="atLeast"/>
        </w:trPr>
        <w:tc>
          <w:tcPr>
            <w:tcW w:w="4404" w:type="dxa"/>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p>
        </w:tc>
        <w:tc>
          <w:tcPr>
            <w:tcW w:w="4116" w:type="dxa"/>
            <w:tcBorders>
              <w:top w:val="nil"/>
              <w:left w:val="nil"/>
              <w:bottom w:val="single" w:color="auto"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开户银行：</w:t>
            </w:r>
          </w:p>
        </w:tc>
      </w:tr>
      <w:tr>
        <w:tblPrEx>
          <w:tblCellMar>
            <w:top w:w="0" w:type="dxa"/>
            <w:left w:w="108" w:type="dxa"/>
            <w:bottom w:w="0" w:type="dxa"/>
            <w:right w:w="108" w:type="dxa"/>
          </w:tblCellMar>
        </w:tblPrEx>
        <w:trPr>
          <w:trHeight w:val="390" w:hRule="atLeast"/>
        </w:trPr>
        <w:tc>
          <w:tcPr>
            <w:tcW w:w="4404" w:type="dxa"/>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p>
        </w:tc>
        <w:tc>
          <w:tcPr>
            <w:tcW w:w="4116" w:type="dxa"/>
            <w:tcBorders>
              <w:top w:val="nil"/>
              <w:left w:val="nil"/>
              <w:bottom w:val="single" w:color="auto"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账号:</w:t>
            </w:r>
          </w:p>
        </w:tc>
      </w:tr>
      <w:tr>
        <w:tblPrEx>
          <w:tblCellMar>
            <w:top w:w="0" w:type="dxa"/>
            <w:left w:w="108" w:type="dxa"/>
            <w:bottom w:w="0" w:type="dxa"/>
            <w:right w:w="108" w:type="dxa"/>
          </w:tblCellMar>
        </w:tblPrEx>
        <w:trPr>
          <w:trHeight w:val="390" w:hRule="atLeast"/>
        </w:trPr>
        <w:tc>
          <w:tcPr>
            <w:tcW w:w="4404"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日期：     年   月   日</w:t>
            </w:r>
          </w:p>
        </w:tc>
        <w:tc>
          <w:tcPr>
            <w:tcW w:w="4116" w:type="dxa"/>
            <w:tcBorders>
              <w:top w:val="nil"/>
              <w:left w:val="nil"/>
              <w:bottom w:val="single" w:color="auto" w:sz="8" w:space="0"/>
              <w:right w:val="single" w:color="auto" w:sz="8" w:space="0"/>
            </w:tcBorders>
            <w:noWrap w:val="0"/>
            <w:vAlign w:val="center"/>
          </w:tcPr>
          <w:p>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日期：     年   月   日</w:t>
            </w:r>
          </w:p>
        </w:tc>
      </w:tr>
    </w:tbl>
    <w:p>
      <w:pPr>
        <w:keepNext w:val="0"/>
        <w:keepLines w:val="0"/>
        <w:pageBreakBefore w:val="0"/>
        <w:widowControl w:val="0"/>
        <w:kinsoku/>
        <w:wordWrap w:val="0"/>
        <w:overflowPunct/>
        <w:topLinePunct/>
        <w:autoSpaceDE/>
        <w:autoSpaceDN/>
        <w:bidi w:val="0"/>
        <w:adjustRightInd/>
        <w:snapToGrid/>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br w:type="page"/>
      </w:r>
      <w:r>
        <w:rPr>
          <w:rFonts w:hint="eastAsia" w:ascii="仿宋" w:hAnsi="仿宋" w:eastAsia="仿宋" w:cs="仿宋"/>
          <w:kern w:val="2"/>
          <w:sz w:val="20"/>
          <w:szCs w:val="20"/>
          <w:highlight w:val="none"/>
          <w:lang w:val="en-US" w:eastAsia="zh-CN" w:bidi="ar-SA"/>
        </w:rPr>
        <w:t>一、合同条款</w:t>
      </w:r>
    </w:p>
    <w:p>
      <w:pPr>
        <w:keepNext w:val="0"/>
        <w:keepLines w:val="0"/>
        <w:pageBreakBefore w:val="0"/>
        <w:widowControl w:val="0"/>
        <w:kinsoku/>
        <w:wordWrap w:val="0"/>
        <w:overflowPunct/>
        <w:topLinePunct/>
        <w:autoSpaceDE/>
        <w:autoSpaceDN/>
        <w:bidi w:val="0"/>
        <w:adjustRightInd/>
        <w:snapToGrid/>
        <w:ind w:firstLine="400" w:firstLineChars="200"/>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合同条款前附表</w:t>
      </w:r>
    </w:p>
    <w:tbl>
      <w:tblPr>
        <w:tblStyle w:val="8"/>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7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序号</w:t>
            </w:r>
          </w:p>
        </w:tc>
        <w:tc>
          <w:tcPr>
            <w:tcW w:w="7856"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64"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w:t>
            </w:r>
          </w:p>
        </w:tc>
        <w:tc>
          <w:tcPr>
            <w:tcW w:w="7856" w:type="dxa"/>
            <w:noWrap w:val="0"/>
            <w:vAlign w:val="center"/>
          </w:tcPr>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合同名称：</w:t>
            </w:r>
          </w:p>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Merge w:val="restart"/>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w:t>
            </w:r>
          </w:p>
        </w:tc>
        <w:tc>
          <w:tcPr>
            <w:tcW w:w="7856" w:type="dxa"/>
            <w:noWrap w:val="0"/>
            <w:vAlign w:val="center"/>
          </w:tcPr>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Merge w:val="continue"/>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c>
          <w:tcPr>
            <w:tcW w:w="7856" w:type="dxa"/>
            <w:noWrap w:val="0"/>
            <w:vAlign w:val="center"/>
          </w:tcPr>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Merge w:val="continue"/>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c>
          <w:tcPr>
            <w:tcW w:w="7856" w:type="dxa"/>
            <w:noWrap w:val="0"/>
            <w:vAlign w:val="center"/>
          </w:tcPr>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Merge w:val="restart"/>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3</w:t>
            </w:r>
          </w:p>
        </w:tc>
        <w:tc>
          <w:tcPr>
            <w:tcW w:w="7856" w:type="dxa"/>
            <w:noWrap w:val="0"/>
            <w:vAlign w:val="center"/>
          </w:tcPr>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Merge w:val="continue"/>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c>
          <w:tcPr>
            <w:tcW w:w="7856" w:type="dxa"/>
            <w:noWrap w:val="0"/>
            <w:vAlign w:val="center"/>
          </w:tcPr>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Merge w:val="continue"/>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c>
          <w:tcPr>
            <w:tcW w:w="7856" w:type="dxa"/>
            <w:noWrap w:val="0"/>
            <w:vAlign w:val="center"/>
          </w:tcPr>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Merge w:val="continue"/>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c>
          <w:tcPr>
            <w:tcW w:w="7856" w:type="dxa"/>
            <w:noWrap w:val="0"/>
            <w:vAlign w:val="center"/>
          </w:tcPr>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乙方开户银行名称：</w:t>
            </w:r>
          </w:p>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4</w:t>
            </w:r>
          </w:p>
        </w:tc>
        <w:tc>
          <w:tcPr>
            <w:tcW w:w="7856" w:type="dxa"/>
            <w:noWrap w:val="0"/>
            <w:vAlign w:val="center"/>
          </w:tcPr>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5</w:t>
            </w:r>
          </w:p>
        </w:tc>
        <w:tc>
          <w:tcPr>
            <w:tcW w:w="7856" w:type="dxa"/>
            <w:noWrap w:val="0"/>
            <w:vAlign w:val="center"/>
          </w:tcPr>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服务时间、地点：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6</w:t>
            </w:r>
          </w:p>
        </w:tc>
        <w:tc>
          <w:tcPr>
            <w:tcW w:w="7856" w:type="dxa"/>
            <w:noWrap w:val="0"/>
            <w:vAlign w:val="center"/>
          </w:tcPr>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服务履行期：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7</w:t>
            </w:r>
          </w:p>
        </w:tc>
        <w:tc>
          <w:tcPr>
            <w:tcW w:w="7856" w:type="dxa"/>
            <w:noWrap w:val="0"/>
            <w:vAlign w:val="center"/>
          </w:tcPr>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8</w:t>
            </w:r>
          </w:p>
        </w:tc>
        <w:tc>
          <w:tcPr>
            <w:tcW w:w="7856" w:type="dxa"/>
            <w:noWrap w:val="0"/>
            <w:vAlign w:val="center"/>
          </w:tcPr>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9</w:t>
            </w:r>
          </w:p>
        </w:tc>
        <w:tc>
          <w:tcPr>
            <w:tcW w:w="7856" w:type="dxa"/>
            <w:noWrap w:val="0"/>
            <w:vAlign w:val="center"/>
          </w:tcPr>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履约保证金及其返还：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64"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default"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10</w:t>
            </w:r>
          </w:p>
        </w:tc>
        <w:tc>
          <w:tcPr>
            <w:tcW w:w="7856" w:type="dxa"/>
            <w:noWrap w:val="0"/>
            <w:vAlign w:val="center"/>
          </w:tcPr>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□违约金约定：</w:t>
            </w:r>
            <w:r>
              <w:rPr>
                <w:rFonts w:hint="eastAsia" w:ascii="仿宋" w:hAnsi="仿宋" w:eastAsia="仿宋" w:cs="仿宋"/>
                <w:sz w:val="20"/>
                <w:szCs w:val="20"/>
                <w:highlight w:val="none"/>
              </w:rPr>
              <w:t>：如果乙方未能履行合同义务，违约金为合同金额的10%，具体金额为人民币______元(¥______)。</w:t>
            </w:r>
          </w:p>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default"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11</w:t>
            </w:r>
          </w:p>
        </w:tc>
        <w:tc>
          <w:tcPr>
            <w:tcW w:w="7856" w:type="dxa"/>
            <w:noWrap w:val="0"/>
            <w:vAlign w:val="center"/>
          </w:tcPr>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误期赔偿费约定：如果乙方没有按照合同规定的时间交货和提供服务，甲方有权从货款或履约保证金中扣除误期赔偿费而不影响合同项下的其他补救方法。赔偿费按每日加收合同金额的0.5%计收，直至提供服务为止。</w:t>
            </w:r>
            <w:r>
              <w:rPr>
                <w:rFonts w:hint="eastAsia" w:ascii="仿宋" w:hAnsi="仿宋" w:eastAsia="仿宋" w:cs="仿宋"/>
                <w:sz w:val="20"/>
                <w:szCs w:val="20"/>
                <w:highlight w:val="none"/>
              </w:rPr>
              <w:t>如果误期赔偿费不足以弥补甲方的实际损失，甲方有权进一步要求乙方赔偿全部损失。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default"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12</w:t>
            </w:r>
          </w:p>
        </w:tc>
        <w:tc>
          <w:tcPr>
            <w:tcW w:w="7856" w:type="dxa"/>
            <w:noWrap w:val="0"/>
            <w:vAlign w:val="center"/>
          </w:tcPr>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64" w:type="dxa"/>
            <w:noWrap w:val="0"/>
            <w:vAlign w:val="center"/>
          </w:tcPr>
          <w:p>
            <w:pPr>
              <w:keepNext w:val="0"/>
              <w:keepLines w:val="0"/>
              <w:pageBreakBefore w:val="0"/>
              <w:widowControl w:val="0"/>
              <w:kinsoku/>
              <w:wordWrap w:val="0"/>
              <w:overflowPunct/>
              <w:topLinePunct/>
              <w:autoSpaceDE/>
              <w:autoSpaceDN/>
              <w:bidi w:val="0"/>
              <w:adjustRightInd/>
              <w:snapToGrid/>
              <w:jc w:val="center"/>
              <w:textAlignment w:val="auto"/>
              <w:rPr>
                <w:rFonts w:hint="default"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13</w:t>
            </w:r>
          </w:p>
        </w:tc>
        <w:tc>
          <w:tcPr>
            <w:tcW w:w="7856" w:type="dxa"/>
            <w:noWrap w:val="0"/>
            <w:vAlign w:val="center"/>
          </w:tcPr>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合同纠纷的解决方式：</w:t>
            </w:r>
          </w:p>
          <w:p>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首先通过双方协商解决，协商解决不成，向甲方所在地人民法院提起诉讼。</w:t>
            </w:r>
          </w:p>
        </w:tc>
      </w:tr>
    </w:tbl>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1.定义</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本合同下列术语应解释为：</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1.1　“甲方”是指采购人。</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1.2　“乙方”是指中标人。</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1.3  “见证方”是指采购代理机构。</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1.4　“合同”系指甲乙双方签署的、合同中载明的甲乙双方所达成的协议，包括所有的附件、附录和上述文件所提到的构成合同的所有文件。</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1.5　“服务”是指乙方按照招标、投标文件要求，向采购人提供的技术支持服务。</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1.6　“项目现场”是指甲方指定的最终服务地点。</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1.7　“天”除非特别指出，“天”均为自然天。</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2.服务标准</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2.1　乙方为甲方交付的服务应符合招标文件所述的内容，如果没有提及适用标准，则应符合相应的国家标准。这些标准必须是有关机构发布的最新版本的标准。</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2.2　除非技术要求中另有规定，计量单位均采用中华人民共和国法定计量单位。</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3.服务</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3.1　乙方应按照合同的规定，提供符合甲方要求的服务。如在服务过程中遇到任何问题，乙方应在接到甲方通知后2小时内做出响应，并在24小时内提出解决方案，确保问题在72小时内得到彻底解决。</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4.知识产权</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4.1　乙方应保证所提供的服务免受第三方提出侵犯其知识产权(专利权、商标权、版权等)的起诉。因侵害他人知识产权而产生的法律责任，全部由投标人承担。</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4.2　甲方委托乙方开发的产品，甲方享有知识产权，未经甲方许可不得转让任何第三人。</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5.保密条款</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5.1　甲乙双方应对在本合同签订或履行过程中所接触的对方信息，包括但不限于知识产权、技术资料、技术诀窍、内部管理及其他相关信息，负有保密义务。如乙方违反本保密义务，应向甲方支付相当于合同金额20%的违约金，并赔偿因此给甲方造成的全部损失。 保密期限不受合同有效期的限制，在合同有效期结束后，信息接受方仍应承担保密义务，直至该等信息成为公开信息。</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(1)应以审慎态度避免泄露、公开或传播甲方的信息；</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(2)未经甲方书面许可，不得对有关信息进行修改、补充、复制；</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(3)未经甲方书面许可，不得将信息以任何方式(如E－mail)携带出甲方场所；</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(4)未经甲方书面许可，不得将信息透露给任何其他人；</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(5)甲方以书面形式提出的其他保密措施。</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5.3　保密期限不受合同有效期的限制，在合同有效期结束后，信息接受方仍应承担保密义务，直至该等信息成为公开信息。</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5.4　甲乙双方如出现泄密行为，泄密方应承担相关的法律责任，包括但是不限于对由此给对方造成的经济损失进行赔偿。</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6.服务质量保证</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6.1　乙方应保证所提供的服务，符合合同规定的技术要求。如不符时，乙方应负全责并尽快处理解决，由此造成的损失和相关费用由乙方负责，甲方保留终止合同及索赔的权利。</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6.2　乙方应保证通过执行合同中全部方案后，可以取得本合同规定的结果，达到本合同规定的预期目标。对任何情况下出现问题的，应尽快提出解决方案。</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6.3　如果乙方提供的服务和解决方案不符合甲方要求，或在规定的时间内没有弥补缺陷，甲方有权采取一切必要的补救措施，由此产生的费用全部由乙方负责。</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7.履约保证金</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7.1　乙方应以银行转账等非现金形式向甲方提供。乙方以银行、保险公司出具保函形式提交履约保证金的，甲方不得拒收。</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7.2　履约保证金具体金额及返还要求见合同条款前附表。</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7.3　如乙方未能履行合同规定的义务，甲方有权按照本合同的约定从履约保证金中进行相应扣除。乙方应在甲方扣除履约保证金后15天内，及时补充扣除部分金额。</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7.4　乙方不履行合同，或者履行合同义务不符合约定使得合同目的不能实现，履约保证金不予退还，给甲方造成的损失超过履约保证金数额的，还应当对超过部分予以赔偿。</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8.服务时间、地点与验收</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8.1　服务地点：甲方指定地点。</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8.2　服务时间：合同条款前附表指定时间。</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 xml:space="preserve">8.3　甲方应在乙方完成相关服务工作后及时对服务质量、技术指标、服务成果进行验收。验收过程中，乙方应提供所有必要的文件和记录，以证明服务符合合同约定的标准。如验收不合格，乙方应在接到甲方通知后的【 】个工作日内进行整改，并在整改完成后再次提交验收。重新验收应在首次验收不合格之日起【 </w:t>
      </w:r>
      <w:bookmarkStart w:id="1" w:name="_GoBack"/>
      <w:bookmarkEnd w:id="1"/>
      <w:r>
        <w:rPr>
          <w:rFonts w:hint="eastAsia" w:ascii="仿宋" w:hAnsi="仿宋" w:eastAsia="仿宋" w:cs="仿宋"/>
          <w:kern w:val="2"/>
          <w:sz w:val="20"/>
          <w:szCs w:val="20"/>
          <w:highlight w:val="none"/>
          <w:lang w:val="en-US" w:eastAsia="zh-CN" w:bidi="ar-SA"/>
        </w:rPr>
        <w:t>】日内完成。如再次验收仍不合格，甲方有权终止合同并要求乙方赔偿因此造成的损失。如乙方未能通过验收，乙方应在接到甲方通知后立即采取补救措施，重新提供服务直至通过验收。如乙方未能在甲方规定的时间内通过验收，乙方应支付相当于合同金额10%的违约金，且甲方有权选择终止合同。</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9.违约责任</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9.1　服务缺陷的补救措施和索赔</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(1)如果乙方提供的服务不符合本合同约定以及招标文件、投标文件关于服务的要求和承诺，乙方应按照甲方同意的下列一种或几种方式结合起来解决索赔事宜：</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①乙方同意将服务款项目退还给甲方，由此发生的一切费用和损失由乙方承担。如甲方以适当的条件和方法购买与未履约标的相类似的服务，乙方应负担新购买类似服务所超出的费用。</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②根据服务的质量状况以及甲方所遭受的损失，经过甲乙双方商定降低服务的价格。</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9.2　迟延履约的违约责任</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(1)乙方应按照本合同规定的时间、地点提供服务。</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计收，直至交货或提供服务为止。此外，如乙方未能在规定时间内解决问题，甲方有权引入第三方服务提供商进行补救，由此产生的所有费用由乙方承担。如果乙方未能在甲方要求的期限内支付误期赔偿费，每延迟一天，乙方应按未支付金额的0.5%支付滞纳金，直至付清为止。且甲方有权解除合同，并要求乙方赔偿因此造成的全部损失，包括但不限于引入第三方服务的费用。</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(4)如果乙方延迟履约超过30日，甲方有权终止全部或部分合同，并依其认为适当的条件和方法购买与未履约类似的服务，乙方应负担购买类似服务所超出的费用。但是，乙方应继续执行合同中未终止的部分。</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9.3　未履行合同义务的违约责任</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(1)守约方有权终止全部或部分合同。</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(2)乙方违约的，甲方有权没收全额履约保证金。</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(3)由违约一方支付违约金，违约金标准见合同条款前附表(各单位可根据实际情况自行约定)。</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(4)违约金不足以弥补守约方实际损失、可预见或者应当预见的损失，由违约方全额予以赔偿，包括但不限于直接损失、间接损失和可预见损失。</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（5）如乙方连续三次未能履行合同义务，或未能在甲方规定的时限内采取补救措施，甲方有权立即终止合同，并要求乙方赔偿因此造成的全部损失。</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10.不可抗力</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10.1　如果合同双方因不可抗力而导致合同实施延误或合同无法实施，不应该承担误期赔偿或不能履行合同义务的责任。</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10.2　本条所述的“不可抗力”系指那些双方不可预见、不可避免、不可克服的客观情况，但不包括双方的违约或疏忽。这些事件包括但不限于：战争、严重火灾、洪水、台风、地震等。</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11.合同纠纷的解决方式</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11.1　合同各方应通过友好协商，解决在执行合同过程中所发生的或与合同有关的一切争端。如协商30日内(根据实际情况设定)不能解决，可以按合同规定的方式提起仲裁或诉讼。</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11.2　仲裁裁决应为最终裁决，对双方均具有约束力。</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11.3　仲裁费除仲裁机关另有裁决外应由败诉方负担。</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11.4　诉讼应由甲方住所地人民法院管辖。财产保全担保保险费、财产保全申请费、律师代理费、差旅费、评估费、鉴定费及诉讼费等与仲裁或诉讼活动相关费用应由败诉方负担。</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11.5　如仲裁或诉讼事项不影响合同其他部分的履行，则在仲裁或诉讼期间，除正在进行仲裁或诉讼的部分外，合同的其他部分应继续执行。</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12.合同修改或变更</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12.1　如无重大变故，甲乙双方不得擅自变更合同。</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12.2　如确需变更合同，甲乙双方应签署书面变更协议。变更协议为本合同不可分割的一部分。</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default"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 xml:space="preserve">13.合同中止 </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13.1合同在履行过程中，因采购计划调整，甲方可以要求中止履行，待计划确定后继续履行；合同履行过程中因投标人就采购过程或结果提起投诉的，甲方认为有必要或财政部责令中止的，应当中止合同的履行。</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14.终止合同</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14.1　若出现如下情况，在甲方对乙方违约行为而采取的任何补救措施不受影响的情况下，甲方可向乙方发出书面通知书，提出终止部分或全部合同。</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14.1.1　如果乙方未能在合同规定的期限或甲方同意延长的期限内提供服务；</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14.1.2　因乙方技术人员自身技术能力、经验不足等原因造成甲方硬件设备、应用系统发生重大紧急故障或应用系统数据丢失，带来重大影响和损失的；</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14.1.3　乙方对甲方硬件设备、应用系统重大紧急故障没有及时响应，或不能在规定时间内解决处理故障，恢复系统正常运行的；</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14.1.4　不能满足本项目技术需求的管理要求和规范，且经多次整改无明显改进的；</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14.1.5　在合同规定的每个服务年度(12个自然月)内，在运行维护支持服务过程中，出现2次经甲乙双方确认的违规操作的。</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bookmarkStart w:id="0" w:name="OLE_LINK12"/>
      <w:r>
        <w:rPr>
          <w:rFonts w:hint="eastAsia" w:ascii="仿宋" w:hAnsi="仿宋" w:eastAsia="仿宋" w:cs="仿宋"/>
          <w:kern w:val="2"/>
          <w:sz w:val="20"/>
          <w:szCs w:val="20"/>
          <w:highlight w:val="none"/>
          <w:lang w:val="en-US" w:eastAsia="zh-CN" w:bidi="ar-SA"/>
        </w:rPr>
        <w:t>15.破产终止合同</w:t>
      </w:r>
    </w:p>
    <w:bookmarkEnd w:id="0"/>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15.1　如果乙方破产或无清偿能力，甲方可在任何时候以书面形式通知乙方终止合同而不给乙方补偿。</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15.2　该终止行为将不损害或影响甲方已经采取或将要采取的任何行动或补救措施的权利。</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16.其他情况的终止合同</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16.1　若合同继续履行将给甲方造成重大损失的，甲方可以终止合同而不给予乙方任何补偿。</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16.2　乙方在执行合同的过程中发生重大事故，对履行合同有直接影响的，甲方可以终止合同而不给予乙方任何补偿。</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16.3　甲方因重大变故取消或部分取消原来的采购任务，导致合同全部或部分内容无须继续履行的，可以终止合同而不给予乙方任何补偿。</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17.合同转让和分包</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17.1　乙方不得以任何形式将合同转包，或部分或全部转让其应履行的合同义务。</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17.2　除经甲方事先书面同意外，乙方不得以任何形式将合同分包。</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18.适用法律</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18.1　本合同适用中华人民共和国现行法律、行政法规和规章，如合同条款与法律、行政法规和规章不一致的，按照法律、行政法规和规章修改本合同。</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19.合同语言</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19.1　本合同语言为中文。</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19.2　双方交换的与合同有关的信件和其他文件应用合同语言书写。</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20.合同生效</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20.1　本合同应在</w:t>
      </w:r>
      <w:r>
        <w:rPr>
          <w:rFonts w:hint="eastAsia" w:ascii="仿宋" w:hAnsi="仿宋" w:eastAsia="仿宋" w:cs="仿宋"/>
          <w:color w:val="auto"/>
          <w:kern w:val="2"/>
          <w:sz w:val="20"/>
          <w:szCs w:val="20"/>
          <w:highlight w:val="none"/>
          <w:lang w:val="en-US" w:eastAsia="zh-CN" w:bidi="ar-SA"/>
        </w:rPr>
        <w:t>双方签字盖章和甲方收到乙方提供的履约保证金后生效</w:t>
      </w:r>
      <w:r>
        <w:rPr>
          <w:rFonts w:hint="eastAsia" w:ascii="仿宋" w:hAnsi="仿宋" w:eastAsia="仿宋" w:cs="仿宋"/>
          <w:kern w:val="2"/>
          <w:sz w:val="20"/>
          <w:szCs w:val="20"/>
          <w:highlight w:val="none"/>
          <w:lang w:val="en-US" w:eastAsia="zh-CN" w:bidi="ar-SA"/>
        </w:rPr>
        <w:t>。</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21.合同效力</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21.1　除本合同和甲乙双方书面签署的补充协议外，其他任何形式的双方约定和往来函件均不具有法律效力，对本项目无约束力。</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22.检查和审计</w:t>
      </w:r>
    </w:p>
    <w:p>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22.1在本合同的履行过程中，甲方有权对乙方的合同履约情况进行阶段性检查，并对乙方投标时提供的相关资料进行复核。</w:t>
      </w:r>
    </w:p>
    <w:p>
      <w:pPr>
        <w:ind w:firstLine="356" w:firstLineChars="200"/>
        <w:rPr>
          <w:highlight w:val="none"/>
        </w:rPr>
      </w:pPr>
      <w:r>
        <w:rPr>
          <w:rFonts w:hint="eastAsia" w:ascii="仿宋" w:hAnsi="仿宋" w:eastAsia="仿宋" w:cs="仿宋"/>
          <w:spacing w:val="-11"/>
          <w:sz w:val="20"/>
          <w:szCs w:val="20"/>
          <w:highlight w:val="none"/>
        </w:rPr>
        <w:t>22.2　在本合同的履行过程中，如果甲乙双方发生争议或者乙方没有按照合同约定履行义务，乙方应允许甲方检查乙方与实施本合同有关的账户和记录，并由甲方指定的审计人员对其进行审计。</w:t>
      </w:r>
    </w:p>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书宋简体">
    <w:altName w:val="宋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pPr>
                          <w: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7"/>
                    </w:pPr>
                    <w: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MmQ3ZDM3ZmE2ZTc5ZjEwNThhZDZiNmIxMDAwOWUifQ=="/>
  </w:docVars>
  <w:rsids>
    <w:rsidRoot w:val="00000000"/>
    <w:rsid w:val="318902BF"/>
    <w:rsid w:val="556B7DD3"/>
    <w:rsid w:val="77AC32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99"/>
    <w:pPr>
      <w:spacing w:after="120" w:line="240" w:lineRule="auto"/>
      <w:ind w:left="420" w:leftChars="200" w:firstLine="420" w:firstLineChars="200"/>
    </w:pPr>
    <w:rPr>
      <w:rFonts w:ascii="Times New Roman" w:hAnsi="Times New Roman"/>
      <w:sz w:val="21"/>
      <w:szCs w:val="24"/>
    </w:rPr>
  </w:style>
  <w:style w:type="paragraph" w:styleId="3">
    <w:name w:val="Body Text Indent"/>
    <w:basedOn w:val="1"/>
    <w:next w:val="4"/>
    <w:qFormat/>
    <w:uiPriority w:val="99"/>
    <w:pPr>
      <w:autoSpaceDE w:val="0"/>
      <w:autoSpaceDN w:val="0"/>
      <w:adjustRightInd w:val="0"/>
      <w:spacing w:line="600" w:lineRule="exact"/>
      <w:ind w:firstLine="560"/>
    </w:pPr>
    <w:rPr>
      <w:rFonts w:ascii="方正书宋简体" w:eastAsia="方正书宋简体"/>
      <w:kern w:val="0"/>
      <w:sz w:val="28"/>
      <w:szCs w:val="28"/>
    </w:rPr>
  </w:style>
  <w:style w:type="paragraph" w:styleId="4">
    <w:name w:val="envelope return"/>
    <w:basedOn w:val="1"/>
    <w:qFormat/>
    <w:uiPriority w:val="0"/>
    <w:pPr>
      <w:snapToGrid w:val="0"/>
    </w:pPr>
    <w:rPr>
      <w:rFonts w:ascii="Arial" w:hAnsi="Arial"/>
    </w:rPr>
  </w:style>
  <w:style w:type="paragraph" w:styleId="6">
    <w:name w:val="Plain Text"/>
    <w:basedOn w:val="1"/>
    <w:qFormat/>
    <w:uiPriority w:val="99"/>
    <w:rPr>
      <w:rFonts w:ascii="宋体" w:hAnsi="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6170</Words>
  <Characters>6635</Characters>
  <Lines>0</Lines>
  <Paragraphs>0</Paragraphs>
  <TotalTime>1</TotalTime>
  <ScaleCrop>false</ScaleCrop>
  <LinksUpToDate>false</LinksUpToDate>
  <CharactersWithSpaces>6774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2025-04-28T07:53:00Z</dcterms:created>
  <dc:creator>admin</dc:creator>
  <cp:lastModifiedBy>微笑</cp:lastModifiedBy>
  <dcterms:modified xsi:type="dcterms:W3CDTF">2025-08-14T07:44:48Z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DocerSaveRecord">
    <vt:lpwstr>eyJoZGlkIjoiOWZlOTI0MzU1MTE4MDlkNWMzNDM3YTg4ZmE1ODFmZDgiLCJ1c2VySWQiOiI2NjUzNDI1ODcifQ==</vt:lpwstr>
  </property>
  <property fmtid="{D5CDD505-2E9C-101B-9397-08002B2CF9AE}" pid="4" name="ICV">
    <vt:lpwstr>CEC6C2ACF6BC43D5894F43BA5E1B00EE_12</vt:lpwstr>
  </property>
</Properties>
</file>