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版本号：ZCBN-汉中市-2025-0049220250827001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汉中市南郑区农用地土壤重金属污染溯源项目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ZCBN-汉中市-2025-00492</w:t>
      </w:r>
      <w:r>
        <w:br/>
      </w:r>
      <w:r>
        <w:br/>
      </w:r>
      <w:r>
        <w:br/>
      </w:r>
    </w:p>
    <w:p>
      <w:pPr>
        <w:pStyle w:val="null3"/>
        <w:jc w:val="center"/>
        <w:outlineLvl w:val="2"/>
      </w:pPr>
      <w:r>
        <w:rPr>
          <w:rFonts w:ascii="仿宋_GB2312" w:hAnsi="仿宋_GB2312" w:cs="仿宋_GB2312" w:eastAsia="仿宋_GB2312"/>
          <w:sz w:val="28"/>
          <w:b/>
        </w:rPr>
        <w:t>汉中市生态环境局南郑分局</w:t>
      </w:r>
    </w:p>
    <w:p>
      <w:pPr>
        <w:pStyle w:val="null3"/>
        <w:jc w:val="center"/>
        <w:outlineLvl w:val="2"/>
      </w:pPr>
      <w:r>
        <w:rPr>
          <w:rFonts w:ascii="仿宋_GB2312" w:hAnsi="仿宋_GB2312" w:cs="仿宋_GB2312" w:eastAsia="仿宋_GB2312"/>
          <w:sz w:val="28"/>
          <w:b/>
        </w:rPr>
        <w:t>中轩项目管理有限公司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汉中市生态环境局南郑分局</w:t>
      </w:r>
      <w:r>
        <w:rPr>
          <w:rFonts w:ascii="仿宋_GB2312" w:hAnsi="仿宋_GB2312" w:cs="仿宋_GB2312" w:eastAsia="仿宋_GB2312"/>
        </w:rPr>
        <w:t>委托，拟对</w:t>
      </w:r>
      <w:r>
        <w:rPr>
          <w:rFonts w:ascii="仿宋_GB2312" w:hAnsi="仿宋_GB2312" w:cs="仿宋_GB2312" w:eastAsia="仿宋_GB2312"/>
        </w:rPr>
        <w:t>汉中市南郑区农用地土壤重金属污染溯源项目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ZCBN-汉中市-2025-00492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汉中市南郑区农用地土壤重金属污染溯源项目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对汉中市南郑区农用地土壤重金属污染溯源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采购包1（汉中市南郑区农用地土壤重金属污染溯源项目）：属于专门面向中小企业采购。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或自然人，并出具合法有效的营业执照或事业法人证书等国家规定的相关证明，自然人参与的提供其身份证明；供应商需提供相关证件复印件并盖电子章。</w:t>
      </w:r>
    </w:p>
    <w:p>
      <w:pPr>
        <w:pStyle w:val="null3"/>
      </w:pPr>
      <w:r>
        <w:rPr>
          <w:rFonts w:ascii="仿宋_GB2312" w:hAnsi="仿宋_GB2312" w:cs="仿宋_GB2312" w:eastAsia="仿宋_GB2312"/>
        </w:rPr>
        <w:t>2、授权委托书：供应商若法定代表人参加投标须提供《法定代表人身份证明》及身份证复印件；法定代表人授权他人参加投标，须提供《法定代表人授权委托书》、被授权人身份证复印件；（详见投标文件格式填写）</w:t>
      </w:r>
    </w:p>
    <w:p>
      <w:pPr>
        <w:pStyle w:val="null3"/>
      </w:pPr>
      <w:r>
        <w:rPr>
          <w:rFonts w:ascii="仿宋_GB2312" w:hAnsi="仿宋_GB2312" w:cs="仿宋_GB2312" w:eastAsia="仿宋_GB2312"/>
        </w:rPr>
        <w:t>3、信誉：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4、检验检测机构资质认定证书：供应商具备合法有效的市场监督管理部门颁发的《检验检测机构资质认定证书》（CMA证书）；供应商需提供相关证件复印件并盖电子章。</w:t>
      </w:r>
    </w:p>
    <w:p>
      <w:pPr>
        <w:pStyle w:val="null3"/>
      </w:pPr>
      <w:r>
        <w:rPr>
          <w:rFonts w:ascii="仿宋_GB2312" w:hAnsi="仿宋_GB2312" w:cs="仿宋_GB2312" w:eastAsia="仿宋_GB2312"/>
        </w:rPr>
        <w:t>5、提供中小企业声明函：供应商提供中小企业声明函。（本项目为专门面向中、小、微型企业采购项目）。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陕西省汉中市南郑区汉山街道办水井巷4号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陕西省汉中市南郑区大河坎镇江南东路电商产业园3号馆3-3室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0916-5309066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开户名称：中轩项目管理有限公司汉中分公司</w:t>
            </w:r>
          </w:p>
          <w:p>
            <w:pPr>
              <w:pStyle w:val="null3"/>
            </w:pPr>
            <w:r>
              <w:rPr>
                <w:rFonts w:ascii="仿宋_GB2312" w:hAnsi="仿宋_GB2312" w:cs="仿宋_GB2312" w:eastAsia="仿宋_GB2312"/>
              </w:rPr>
              <w:t>开户银行：交通银行汉中分行营业部</w:t>
            </w:r>
          </w:p>
          <w:p>
            <w:pPr>
              <w:pStyle w:val="null3"/>
            </w:pPr>
            <w:r>
              <w:rPr>
                <w:rFonts w:ascii="仿宋_GB2312" w:hAnsi="仿宋_GB2312" w:cs="仿宋_GB2312" w:eastAsia="仿宋_GB2312"/>
              </w:rPr>
              <w:t>银行账号：617899991010003106857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代理服务费收费标准：依据国家计委计价格［2002］1980号文件执行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汉中市生态环境局南郑分局</w:t>
      </w:r>
      <w:r>
        <w:rPr>
          <w:rFonts w:ascii="仿宋_GB2312" w:hAnsi="仿宋_GB2312" w:cs="仿宋_GB2312" w:eastAsia="仿宋_GB2312"/>
        </w:rPr>
        <w:t>和</w:t>
      </w:r>
      <w:r>
        <w:rPr>
          <w:rFonts w:ascii="仿宋_GB2312" w:hAnsi="仿宋_GB2312" w:cs="仿宋_GB2312" w:eastAsia="仿宋_GB2312"/>
        </w:rPr>
        <w:t>中轩项目管理有限公司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中轩项目管理有限公司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联系电话：0916-5309066</w:t>
      </w:r>
    </w:p>
    <w:p>
      <w:pPr>
        <w:pStyle w:val="null3"/>
      </w:pPr>
      <w:r>
        <w:rPr>
          <w:rFonts w:ascii="仿宋_GB2312" w:hAnsi="仿宋_GB2312" w:cs="仿宋_GB2312" w:eastAsia="仿宋_GB2312"/>
        </w:rPr>
        <w:t>地址：陕西省汉中市南郑区江南东路电商产业园 3 号馆3-3室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对汉中市南郑区农用地土壤进行重金属污染溯源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重金属污染溯源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标的名称：重金属污染溯源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00"/>
              </w:rPr>
              <w:t>汉中市</w:t>
            </w:r>
            <w:r>
              <w:rPr>
                <w:rFonts w:ascii="仿宋_GB2312" w:hAnsi="仿宋_GB2312" w:cs="仿宋_GB2312" w:eastAsia="仿宋_GB2312"/>
                <w:sz w:val="21"/>
                <w:b/>
                <w:color w:val="000000"/>
              </w:rPr>
              <w:t>南郑区农用地土壤重金属污染溯源项目</w:t>
            </w:r>
          </w:p>
          <w:p>
            <w:pPr>
              <w:pStyle w:val="null3"/>
              <w:jc w:val="center"/>
            </w:pPr>
            <w:r>
              <w:rPr>
                <w:rFonts w:ascii="仿宋_GB2312" w:hAnsi="仿宋_GB2312" w:cs="仿宋_GB2312" w:eastAsia="仿宋_GB2312"/>
                <w:sz w:val="21"/>
                <w:b/>
                <w:color w:val="000000"/>
              </w:rPr>
              <w:t>采购需求</w:t>
            </w:r>
          </w:p>
          <w:p>
            <w:pPr>
              <w:pStyle w:val="null3"/>
              <w:jc w:val="both"/>
            </w:pPr>
            <w:r>
              <w:rPr>
                <w:rFonts w:ascii="仿宋_GB2312" w:hAnsi="仿宋_GB2312" w:cs="仿宋_GB2312" w:eastAsia="仿宋_GB2312"/>
                <w:sz w:val="21"/>
                <w:b/>
                <w:color w:val="000000"/>
              </w:rPr>
              <w:t>一、项目现状</w:t>
            </w:r>
          </w:p>
          <w:p>
            <w:pPr>
              <w:pStyle w:val="null3"/>
              <w:ind w:firstLine="560"/>
              <w:jc w:val="left"/>
            </w:pPr>
            <w:r>
              <w:rPr>
                <w:rFonts w:ascii="仿宋_GB2312" w:hAnsi="仿宋_GB2312" w:cs="仿宋_GB2312" w:eastAsia="仿宋_GB2312"/>
                <w:sz w:val="21"/>
                <w:color w:val="000000"/>
              </w:rPr>
              <w:t>根据</w:t>
            </w:r>
            <w:r>
              <w:rPr>
                <w:rFonts w:ascii="仿宋_GB2312" w:hAnsi="仿宋_GB2312" w:cs="仿宋_GB2312" w:eastAsia="仿宋_GB2312"/>
                <w:sz w:val="21"/>
                <w:color w:val="000000"/>
              </w:rPr>
              <w:t>《中华人民共和国土壤污染防治法》《土壤污染源头防控行动计划》《中共中央国务院关于深入打好污染防治攻坚战的意见》《</w:t>
            </w:r>
            <w:r>
              <w:rPr>
                <w:rFonts w:ascii="仿宋_GB2312" w:hAnsi="仿宋_GB2312" w:cs="仿宋_GB2312" w:eastAsia="仿宋_GB2312"/>
                <w:sz w:val="21"/>
                <w:color w:val="000000"/>
              </w:rPr>
              <w:t>“</w:t>
            </w:r>
            <w:r>
              <w:rPr>
                <w:rFonts w:ascii="仿宋_GB2312" w:hAnsi="仿宋_GB2312" w:cs="仿宋_GB2312" w:eastAsia="仿宋_GB2312"/>
                <w:sz w:val="21"/>
                <w:color w:val="000000"/>
              </w:rPr>
              <w:t>十四五</w:t>
            </w:r>
            <w:r>
              <w:rPr>
                <w:rFonts w:ascii="仿宋_GB2312" w:hAnsi="仿宋_GB2312" w:cs="仿宋_GB2312" w:eastAsia="仿宋_GB2312"/>
                <w:sz w:val="21"/>
                <w:color w:val="000000"/>
              </w:rPr>
              <w:t>”</w:t>
            </w:r>
            <w:r>
              <w:rPr>
                <w:rFonts w:ascii="仿宋_GB2312" w:hAnsi="仿宋_GB2312" w:cs="仿宋_GB2312" w:eastAsia="仿宋_GB2312"/>
                <w:sz w:val="21"/>
                <w:color w:val="000000"/>
              </w:rPr>
              <w:t>土壤、地下水和农村生态环境保护规划》等有关法律、政策文件要求，</w:t>
            </w:r>
            <w:r>
              <w:rPr>
                <w:rFonts w:ascii="仿宋_GB2312" w:hAnsi="仿宋_GB2312" w:cs="仿宋_GB2312" w:eastAsia="仿宋_GB2312"/>
                <w:sz w:val="21"/>
                <w:color w:val="000000"/>
              </w:rPr>
              <w:t>为</w:t>
            </w:r>
            <w:r>
              <w:rPr>
                <w:rFonts w:ascii="仿宋_GB2312" w:hAnsi="仿宋_GB2312" w:cs="仿宋_GB2312" w:eastAsia="仿宋_GB2312"/>
                <w:sz w:val="21"/>
                <w:color w:val="000000"/>
              </w:rPr>
              <w:t>做好</w:t>
            </w:r>
            <w:r>
              <w:rPr>
                <w:rFonts w:ascii="仿宋_GB2312" w:hAnsi="仿宋_GB2312" w:cs="仿宋_GB2312" w:eastAsia="仿宋_GB2312"/>
                <w:sz w:val="21"/>
                <w:color w:val="000000"/>
              </w:rPr>
              <w:t>耕地</w:t>
            </w:r>
            <w:r>
              <w:rPr>
                <w:rFonts w:ascii="仿宋_GB2312" w:hAnsi="仿宋_GB2312" w:cs="仿宋_GB2312" w:eastAsia="仿宋_GB2312"/>
                <w:sz w:val="21"/>
                <w:color w:val="000000"/>
              </w:rPr>
              <w:t>重金属污染防控工作，生态环境部印发了《关于开展耕地土壤重金属污染成因排查工作的通知》（环办土壤〔</w:t>
            </w:r>
            <w:r>
              <w:rPr>
                <w:rFonts w:ascii="仿宋_GB2312" w:hAnsi="仿宋_GB2312" w:cs="仿宋_GB2312" w:eastAsia="仿宋_GB2312"/>
                <w:sz w:val="21"/>
                <w:color w:val="000000"/>
              </w:rPr>
              <w:t>2021</w:t>
            </w:r>
            <w:r>
              <w:rPr>
                <w:rFonts w:ascii="仿宋_GB2312" w:hAnsi="仿宋_GB2312" w:cs="仿宋_GB2312" w:eastAsia="仿宋_GB2312"/>
                <w:sz w:val="21"/>
                <w:color w:val="000000"/>
              </w:rPr>
              <w:t>〕</w:t>
            </w:r>
            <w:r>
              <w:rPr>
                <w:rFonts w:ascii="仿宋_GB2312" w:hAnsi="仿宋_GB2312" w:cs="仿宋_GB2312" w:eastAsia="仿宋_GB2312"/>
                <w:sz w:val="21"/>
                <w:color w:val="000000"/>
              </w:rPr>
              <w:t>31</w:t>
            </w:r>
            <w:r>
              <w:rPr>
                <w:rFonts w:ascii="仿宋_GB2312" w:hAnsi="仿宋_GB2312" w:cs="仿宋_GB2312" w:eastAsia="仿宋_GB2312"/>
                <w:sz w:val="21"/>
                <w:color w:val="000000"/>
              </w:rPr>
              <w:t>号）</w:t>
            </w:r>
            <w:r>
              <w:rPr>
                <w:rFonts w:ascii="仿宋_GB2312" w:hAnsi="仿宋_GB2312" w:cs="仿宋_GB2312" w:eastAsia="仿宋_GB2312"/>
                <w:sz w:val="21"/>
                <w:color w:val="000000"/>
              </w:rPr>
              <w:t>（以下简称《排查指南》）</w:t>
            </w:r>
            <w:r>
              <w:rPr>
                <w:rFonts w:ascii="仿宋_GB2312" w:hAnsi="仿宋_GB2312" w:cs="仿宋_GB2312" w:eastAsia="仿宋_GB2312"/>
                <w:sz w:val="21"/>
                <w:color w:val="000000"/>
              </w:rPr>
              <w:t>，要求在耕地土壤重金属污染成因排查与分析试点工作的基础上，</w:t>
            </w:r>
            <w:r>
              <w:rPr>
                <w:rFonts w:ascii="仿宋_GB2312" w:hAnsi="仿宋_GB2312" w:cs="仿宋_GB2312" w:eastAsia="仿宋_GB2312"/>
                <w:sz w:val="21"/>
                <w:color w:val="000000"/>
              </w:rPr>
              <w:t>针对受污染耕地，对影响土壤环境质量的输入因素和输出因素（大气沉降、灌溉水、作物移除）进行调查监测，建立输入输出通量模型，确定污染成因及迁移路径</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color w:val="000000"/>
              </w:rPr>
              <w:t>二、</w:t>
            </w:r>
            <w:r>
              <w:rPr>
                <w:rFonts w:ascii="仿宋_GB2312" w:hAnsi="仿宋_GB2312" w:cs="仿宋_GB2312" w:eastAsia="仿宋_GB2312"/>
                <w:sz w:val="21"/>
                <w:b/>
                <w:color w:val="000000"/>
              </w:rPr>
              <w:t>服务要求</w:t>
            </w:r>
          </w:p>
          <w:p>
            <w:pPr>
              <w:pStyle w:val="null3"/>
              <w:ind w:firstLine="560"/>
              <w:jc w:val="left"/>
            </w:pPr>
            <w:r>
              <w:rPr>
                <w:rFonts w:ascii="仿宋_GB2312" w:hAnsi="仿宋_GB2312" w:cs="仿宋_GB2312" w:eastAsia="仿宋_GB2312"/>
                <w:sz w:val="21"/>
              </w:rPr>
              <w:t>按</w:t>
            </w:r>
            <w:r>
              <w:rPr>
                <w:rFonts w:ascii="仿宋_GB2312" w:hAnsi="仿宋_GB2312" w:cs="仿宋_GB2312" w:eastAsia="仿宋_GB2312"/>
                <w:sz w:val="21"/>
              </w:rPr>
              <w:t>照</w:t>
            </w:r>
            <w:r>
              <w:rPr>
                <w:rFonts w:ascii="仿宋_GB2312" w:hAnsi="仿宋_GB2312" w:cs="仿宋_GB2312" w:eastAsia="仿宋_GB2312"/>
                <w:sz w:val="21"/>
              </w:rPr>
              <w:t>《农用地土壤重金属污染溯源指南》</w:t>
            </w:r>
            <w:r>
              <w:rPr>
                <w:rFonts w:ascii="仿宋_GB2312" w:hAnsi="仿宋_GB2312" w:cs="仿宋_GB2312" w:eastAsia="仿宋_GB2312"/>
                <w:sz w:val="21"/>
              </w:rPr>
              <w:t>（</w:t>
            </w:r>
            <w:r>
              <w:rPr>
                <w:rFonts w:ascii="仿宋_GB2312" w:hAnsi="仿宋_GB2312" w:cs="仿宋_GB2312" w:eastAsia="仿宋_GB2312"/>
                <w:sz w:val="21"/>
              </w:rPr>
              <w:t>环办土壤</w:t>
            </w:r>
            <w:r>
              <w:rPr>
                <w:rFonts w:ascii="仿宋_GB2312" w:hAnsi="仿宋_GB2312" w:cs="仿宋_GB2312" w:eastAsia="仿宋_GB2312"/>
                <w:sz w:val="21"/>
              </w:rPr>
              <w:t>函</w:t>
            </w:r>
            <w:r>
              <w:rPr>
                <w:rFonts w:ascii="仿宋_GB2312" w:hAnsi="仿宋_GB2312" w:cs="仿宋_GB2312" w:eastAsia="仿宋_GB2312"/>
                <w:sz w:val="21"/>
              </w:rPr>
              <w:t>〔</w:t>
            </w:r>
            <w:r>
              <w:rPr>
                <w:rFonts w:ascii="仿宋_GB2312" w:hAnsi="仿宋_GB2312" w:cs="仿宋_GB2312" w:eastAsia="仿宋_GB2312"/>
                <w:sz w:val="21"/>
              </w:rPr>
              <w:t>202</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442</w:t>
            </w:r>
            <w:r>
              <w:rPr>
                <w:rFonts w:ascii="仿宋_GB2312" w:hAnsi="仿宋_GB2312" w:cs="仿宋_GB2312" w:eastAsia="仿宋_GB2312"/>
                <w:sz w:val="21"/>
              </w:rPr>
              <w:t>号</w:t>
            </w:r>
            <w:r>
              <w:rPr>
                <w:rFonts w:ascii="仿宋_GB2312" w:hAnsi="仿宋_GB2312" w:cs="仿宋_GB2312" w:eastAsia="仿宋_GB2312"/>
                <w:sz w:val="21"/>
              </w:rPr>
              <w:t>）</w:t>
            </w:r>
            <w:r>
              <w:rPr>
                <w:rFonts w:ascii="仿宋_GB2312" w:hAnsi="仿宋_GB2312" w:cs="仿宋_GB2312" w:eastAsia="仿宋_GB2312"/>
                <w:sz w:val="21"/>
              </w:rPr>
              <w:t>规定及</w:t>
            </w:r>
            <w:r>
              <w:rPr>
                <w:rFonts w:ascii="仿宋_GB2312" w:hAnsi="仿宋_GB2312" w:cs="仿宋_GB2312" w:eastAsia="仿宋_GB2312"/>
                <w:sz w:val="21"/>
              </w:rPr>
              <w:t>《汉中市南郑区农用地土壤重金属污染溯源项目实施方案》</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通过</w:t>
            </w:r>
            <w:r>
              <w:rPr>
                <w:rFonts w:ascii="仿宋_GB2312" w:hAnsi="仿宋_GB2312" w:cs="仿宋_GB2312" w:eastAsia="仿宋_GB2312"/>
                <w:sz w:val="21"/>
              </w:rPr>
              <w:t>收集资料信息、现场查勘和访谈、补充调查监测、研判污染成因、核实污染源等手段，</w:t>
            </w:r>
            <w:r>
              <w:rPr>
                <w:rFonts w:ascii="仿宋_GB2312" w:hAnsi="仿宋_GB2312" w:cs="仿宋_GB2312" w:eastAsia="仿宋_GB2312"/>
                <w:sz w:val="21"/>
              </w:rPr>
              <w:t>对汉中市</w:t>
            </w:r>
            <w:r>
              <w:rPr>
                <w:rFonts w:ascii="仿宋_GB2312" w:hAnsi="仿宋_GB2312" w:cs="仿宋_GB2312" w:eastAsia="仿宋_GB2312"/>
                <w:sz w:val="21"/>
              </w:rPr>
              <w:t>南郑区碑坝镇、福成镇、圣水镇</w:t>
            </w:r>
            <w:r>
              <w:rPr>
                <w:rFonts w:ascii="仿宋_GB2312" w:hAnsi="仿宋_GB2312" w:cs="仿宋_GB2312" w:eastAsia="仿宋_GB2312"/>
                <w:sz w:val="21"/>
              </w:rPr>
              <w:t>3</w:t>
            </w:r>
            <w:r>
              <w:rPr>
                <w:rFonts w:ascii="仿宋_GB2312" w:hAnsi="仿宋_GB2312" w:cs="仿宋_GB2312" w:eastAsia="仿宋_GB2312"/>
                <w:sz w:val="21"/>
              </w:rPr>
              <w:t>个镇</w:t>
            </w:r>
            <w:r>
              <w:rPr>
                <w:rFonts w:ascii="仿宋_GB2312" w:hAnsi="仿宋_GB2312" w:cs="仿宋_GB2312" w:eastAsia="仿宋_GB2312"/>
                <w:sz w:val="21"/>
              </w:rPr>
              <w:t>共涉及</w:t>
            </w:r>
            <w:r>
              <w:rPr>
                <w:rFonts w:ascii="仿宋_GB2312" w:hAnsi="仿宋_GB2312" w:cs="仿宋_GB2312" w:eastAsia="仿宋_GB2312"/>
                <w:sz w:val="21"/>
              </w:rPr>
              <w:t>0.74</w:t>
            </w:r>
            <w:r>
              <w:rPr>
                <w:rFonts w:ascii="仿宋_GB2312" w:hAnsi="仿宋_GB2312" w:cs="仿宋_GB2312" w:eastAsia="仿宋_GB2312"/>
                <w:sz w:val="21"/>
              </w:rPr>
              <w:t>万亩受污染农用地开展土壤重金属污染溯源工作，</w:t>
            </w:r>
            <w:r>
              <w:rPr>
                <w:rFonts w:ascii="仿宋_GB2312" w:hAnsi="仿宋_GB2312" w:cs="仿宋_GB2312" w:eastAsia="仿宋_GB2312"/>
                <w:sz w:val="21"/>
              </w:rPr>
              <w:t>判定农用地土壤重金属污染来源、污染途径、污染类型及其整治情况等，识别需要整治的污染源，建立污染源整治清单</w:t>
            </w:r>
            <w:r>
              <w:rPr>
                <w:rFonts w:ascii="仿宋_GB2312" w:hAnsi="仿宋_GB2312" w:cs="仿宋_GB2312" w:eastAsia="仿宋_GB2312"/>
                <w:sz w:val="21"/>
              </w:rPr>
              <w:t>，</w:t>
            </w:r>
            <w:r>
              <w:rPr>
                <w:rFonts w:ascii="仿宋_GB2312" w:hAnsi="仿宋_GB2312" w:cs="仿宋_GB2312" w:eastAsia="仿宋_GB2312"/>
                <w:sz w:val="21"/>
              </w:rPr>
              <w:t>编制污染源整治方案</w:t>
            </w:r>
            <w:r>
              <w:rPr>
                <w:rFonts w:ascii="仿宋_GB2312" w:hAnsi="仿宋_GB2312" w:cs="仿宋_GB2312" w:eastAsia="仿宋_GB2312"/>
                <w:sz w:val="21"/>
              </w:rPr>
              <w:t>并提出针对性的整治措施，形成农用地土壤重金属污染溯源</w:t>
            </w:r>
            <w:r>
              <w:rPr>
                <w:rFonts w:ascii="仿宋_GB2312" w:hAnsi="仿宋_GB2312" w:cs="仿宋_GB2312" w:eastAsia="仿宋_GB2312"/>
                <w:sz w:val="21"/>
              </w:rPr>
              <w:t>“</w:t>
            </w:r>
            <w:r>
              <w:rPr>
                <w:rFonts w:ascii="仿宋_GB2312" w:hAnsi="仿宋_GB2312" w:cs="仿宋_GB2312" w:eastAsia="仿宋_GB2312"/>
                <w:sz w:val="21"/>
              </w:rPr>
              <w:t>一村一档</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污染源清单、</w:t>
            </w:r>
            <w:r>
              <w:rPr>
                <w:rFonts w:ascii="仿宋_GB2312" w:hAnsi="仿宋_GB2312" w:cs="仿宋_GB2312" w:eastAsia="仿宋_GB2312"/>
                <w:sz w:val="21"/>
              </w:rPr>
              <w:t>“一张图”、</w:t>
            </w:r>
            <w:r>
              <w:rPr>
                <w:rFonts w:ascii="仿宋_GB2312" w:hAnsi="仿宋_GB2312" w:cs="仿宋_GB2312" w:eastAsia="仿宋_GB2312"/>
                <w:sz w:val="21"/>
              </w:rPr>
              <w:t>溯源报告</w:t>
            </w:r>
            <w:r>
              <w:rPr>
                <w:rFonts w:ascii="仿宋_GB2312" w:hAnsi="仿宋_GB2312" w:cs="仿宋_GB2312" w:eastAsia="仿宋_GB2312"/>
                <w:sz w:val="21"/>
              </w:rPr>
              <w:t>和整治方案</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color w:val="000000"/>
              </w:rPr>
              <w:t>三、服务内容</w:t>
            </w:r>
          </w:p>
          <w:p>
            <w:pPr>
              <w:pStyle w:val="null3"/>
              <w:ind w:firstLine="56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完成</w:t>
            </w:r>
            <w:r>
              <w:rPr>
                <w:rFonts w:ascii="仿宋_GB2312" w:hAnsi="仿宋_GB2312" w:cs="仿宋_GB2312" w:eastAsia="仿宋_GB2312"/>
                <w:sz w:val="21"/>
                <w:color w:val="000000"/>
              </w:rPr>
              <w:t>南郑区圣水镇、碑坝镇、福成镇</w:t>
            </w:r>
            <w:r>
              <w:rPr>
                <w:rFonts w:ascii="仿宋_GB2312" w:hAnsi="仿宋_GB2312" w:cs="仿宋_GB2312" w:eastAsia="仿宋_GB2312"/>
                <w:sz w:val="21"/>
                <w:color w:val="000000"/>
              </w:rPr>
              <w:t>约</w:t>
            </w:r>
            <w:r>
              <w:rPr>
                <w:rFonts w:ascii="仿宋_GB2312" w:hAnsi="仿宋_GB2312" w:cs="仿宋_GB2312" w:eastAsia="仿宋_GB2312"/>
                <w:sz w:val="21"/>
                <w:color w:val="000000"/>
              </w:rPr>
              <w:t>0.74</w:t>
            </w:r>
            <w:r>
              <w:rPr>
                <w:rFonts w:ascii="仿宋_GB2312" w:hAnsi="仿宋_GB2312" w:cs="仿宋_GB2312" w:eastAsia="仿宋_GB2312"/>
                <w:sz w:val="21"/>
                <w:color w:val="000000"/>
              </w:rPr>
              <w:t>万亩农用地土壤重金属污染溯源；</w:t>
            </w:r>
          </w:p>
          <w:p>
            <w:pPr>
              <w:pStyle w:val="null3"/>
              <w:ind w:firstLine="56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采集土壤、地表水、底泥等样品</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217</w:t>
            </w:r>
            <w:r>
              <w:rPr>
                <w:rFonts w:ascii="仿宋_GB2312" w:hAnsi="仿宋_GB2312" w:cs="仿宋_GB2312" w:eastAsia="仿宋_GB2312"/>
                <w:sz w:val="21"/>
                <w:color w:val="000000"/>
              </w:rPr>
              <w:t>件；</w:t>
            </w:r>
          </w:p>
          <w:p>
            <w:pPr>
              <w:pStyle w:val="null3"/>
              <w:ind w:firstLine="56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提交水、土壤</w:t>
            </w:r>
            <w:r>
              <w:rPr>
                <w:rFonts w:ascii="仿宋_GB2312" w:hAnsi="仿宋_GB2312" w:cs="仿宋_GB2312" w:eastAsia="仿宋_GB2312"/>
                <w:sz w:val="21"/>
                <w:color w:val="000000"/>
              </w:rPr>
              <w:t>、底泥</w:t>
            </w:r>
            <w:r>
              <w:rPr>
                <w:rFonts w:ascii="仿宋_GB2312" w:hAnsi="仿宋_GB2312" w:cs="仿宋_GB2312" w:eastAsia="仿宋_GB2312"/>
                <w:sz w:val="21"/>
                <w:color w:val="000000"/>
              </w:rPr>
              <w:t>等监测报告；</w:t>
            </w:r>
          </w:p>
          <w:p>
            <w:pPr>
              <w:pStyle w:val="null3"/>
              <w:ind w:firstLine="56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提交《</w:t>
            </w:r>
            <w:r>
              <w:rPr>
                <w:rFonts w:ascii="仿宋_GB2312" w:hAnsi="仿宋_GB2312" w:cs="仿宋_GB2312" w:eastAsia="仿宋_GB2312"/>
                <w:sz w:val="21"/>
                <w:color w:val="000000"/>
              </w:rPr>
              <w:t>汉中市南郑区</w:t>
            </w:r>
            <w:r>
              <w:rPr>
                <w:rFonts w:ascii="仿宋_GB2312" w:hAnsi="仿宋_GB2312" w:cs="仿宋_GB2312" w:eastAsia="仿宋_GB2312"/>
                <w:sz w:val="21"/>
                <w:color w:val="000000"/>
              </w:rPr>
              <w:t>农用地土壤重金属污染溯源</w:t>
            </w:r>
            <w:r>
              <w:rPr>
                <w:rFonts w:ascii="仿宋_GB2312" w:hAnsi="仿宋_GB2312" w:cs="仿宋_GB2312" w:eastAsia="仿宋_GB2312"/>
                <w:sz w:val="21"/>
                <w:color w:val="000000"/>
              </w:rPr>
              <w:t>报告</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r>
              <w:rPr>
                <w:rFonts w:ascii="仿宋_GB2312" w:hAnsi="仿宋_GB2312" w:cs="仿宋_GB2312" w:eastAsia="仿宋_GB2312"/>
                <w:sz w:val="21"/>
                <w:color w:val="000000"/>
              </w:rPr>
              <w:t>；</w:t>
            </w:r>
          </w:p>
          <w:p>
            <w:pPr>
              <w:pStyle w:val="null3"/>
              <w:ind w:firstLine="56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提交</w:t>
            </w:r>
            <w:r>
              <w:rPr>
                <w:rFonts w:ascii="仿宋_GB2312" w:hAnsi="仿宋_GB2312" w:cs="仿宋_GB2312" w:eastAsia="仿宋_GB2312"/>
                <w:sz w:val="21"/>
              </w:rPr>
              <w:t>汉中市南郑区</w:t>
            </w:r>
            <w:r>
              <w:rPr>
                <w:rFonts w:ascii="仿宋_GB2312" w:hAnsi="仿宋_GB2312" w:cs="仿宋_GB2312" w:eastAsia="仿宋_GB2312"/>
                <w:sz w:val="21"/>
              </w:rPr>
              <w:t>农用地土壤重金属</w:t>
            </w:r>
            <w:r>
              <w:rPr>
                <w:rFonts w:ascii="仿宋_GB2312" w:hAnsi="仿宋_GB2312" w:cs="仿宋_GB2312" w:eastAsia="仿宋_GB2312"/>
                <w:sz w:val="21"/>
              </w:rPr>
              <w:t>污染溯源</w:t>
            </w:r>
            <w:r>
              <w:rPr>
                <w:rFonts w:ascii="仿宋_GB2312" w:hAnsi="仿宋_GB2312" w:cs="仿宋_GB2312" w:eastAsia="仿宋_GB2312"/>
                <w:sz w:val="21"/>
              </w:rPr>
              <w:t>“一村一档”、</w:t>
            </w:r>
            <w:r>
              <w:rPr>
                <w:rFonts w:ascii="仿宋_GB2312" w:hAnsi="仿宋_GB2312" w:cs="仿宋_GB2312" w:eastAsia="仿宋_GB2312"/>
                <w:sz w:val="21"/>
              </w:rPr>
              <w:t>污染源清单、污染源信息</w:t>
            </w:r>
            <w:r>
              <w:rPr>
                <w:rFonts w:ascii="仿宋_GB2312" w:hAnsi="仿宋_GB2312" w:cs="仿宋_GB2312" w:eastAsia="仿宋_GB2312"/>
                <w:sz w:val="21"/>
              </w:rPr>
              <w:t>“</w:t>
            </w:r>
            <w:r>
              <w:rPr>
                <w:rFonts w:ascii="仿宋_GB2312" w:hAnsi="仿宋_GB2312" w:cs="仿宋_GB2312" w:eastAsia="仿宋_GB2312"/>
                <w:sz w:val="21"/>
              </w:rPr>
              <w:t>一张图</w:t>
            </w:r>
            <w:r>
              <w:rPr>
                <w:rFonts w:ascii="仿宋_GB2312" w:hAnsi="仿宋_GB2312" w:cs="仿宋_GB2312" w:eastAsia="仿宋_GB2312"/>
                <w:sz w:val="21"/>
              </w:rPr>
              <w:t>”</w:t>
            </w:r>
            <w:r>
              <w:rPr>
                <w:rFonts w:ascii="仿宋_GB2312" w:hAnsi="仿宋_GB2312" w:cs="仿宋_GB2312" w:eastAsia="仿宋_GB2312"/>
                <w:sz w:val="21"/>
              </w:rPr>
              <w:t>及污染源整治方案</w:t>
            </w:r>
            <w:r>
              <w:rPr>
                <w:rFonts w:ascii="仿宋_GB2312" w:hAnsi="仿宋_GB2312" w:cs="仿宋_GB2312" w:eastAsia="仿宋_GB2312"/>
                <w:sz w:val="21"/>
              </w:rPr>
              <w:t>等</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、主要调查指标及监测统计表：</w:t>
            </w:r>
          </w:p>
          <w:p>
            <w:pPr>
              <w:pStyle w:val="null3"/>
              <w:ind w:left="285"/>
              <w:jc w:val="center"/>
            </w:pPr>
            <w:r>
              <w:rPr>
                <w:rFonts w:ascii="仿宋_GB2312" w:hAnsi="仿宋_GB2312" w:cs="仿宋_GB2312" w:eastAsia="仿宋_GB2312"/>
                <w:sz w:val="21"/>
              </w:rPr>
              <w:t>本项目主要</w:t>
            </w:r>
            <w:r>
              <w:rPr>
                <w:rFonts w:ascii="仿宋_GB2312" w:hAnsi="仿宋_GB2312" w:cs="仿宋_GB2312" w:eastAsia="仿宋_GB2312"/>
                <w:sz w:val="21"/>
              </w:rPr>
              <w:t>调查、</w:t>
            </w:r>
            <w:r>
              <w:rPr>
                <w:rFonts w:ascii="仿宋_GB2312" w:hAnsi="仿宋_GB2312" w:cs="仿宋_GB2312" w:eastAsia="仿宋_GB2312"/>
                <w:sz w:val="21"/>
              </w:rPr>
              <w:t>监测指标</w:t>
            </w:r>
          </w:p>
          <w:tbl>
            <w:tblPr>
              <w:tblBorders>
                <w:top w:val="none" w:color="000000" w:sz="4"/>
                <w:left w:val="none" w:color="000000" w:sz="4"/>
                <w:bottom w:val="none" w:color="000000" w:sz="4"/>
                <w:right w:val="none" w:color="000000" w:sz="4"/>
                <w:insideH w:val="none"/>
                <w:insideV w:val="none"/>
              </w:tblBorders>
            </w:tblPr>
            <w:tblGrid>
              <w:gridCol w:w="276"/>
              <w:gridCol w:w="404"/>
              <w:gridCol w:w="656"/>
              <w:gridCol w:w="1217"/>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对象</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调查指标</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监测指标</w:t>
                  </w:r>
                </w:p>
              </w:tc>
            </w:tr>
            <w:tr>
              <w:tc>
                <w:tcPr>
                  <w:tcW w:type="dxa" w:w="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输入</w:t>
                  </w:r>
                </w:p>
                <w:p>
                  <w:pPr>
                    <w:pStyle w:val="null3"/>
                    <w:jc w:val="center"/>
                  </w:pPr>
                  <w:r>
                    <w:rPr>
                      <w:rFonts w:ascii="仿宋_GB2312" w:hAnsi="仿宋_GB2312" w:cs="仿宋_GB2312" w:eastAsia="仿宋_GB2312"/>
                      <w:sz w:val="21"/>
                      <w:b/>
                      <w:color w:val="000000"/>
                    </w:rPr>
                    <w:t>因素</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大气沉降</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降尘量、降雨量</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pH、镉、汞、砷、铅、铬、铜、锌、镍</w:t>
                  </w:r>
                </w:p>
              </w:tc>
            </w:tr>
            <w:tr>
              <w:tc>
                <w:tcPr>
                  <w:tcW w:type="dxa" w:w="276"/>
                  <w:vMerge/>
                  <w:tcBorders>
                    <w:top w:val="single" w:color="000000" w:sz="4"/>
                    <w:left w:val="single" w:color="000000" w:sz="4"/>
                    <w:bottom w:val="single" w:color="000000" w:sz="4"/>
                    <w:right w:val="single" w:color="000000" w:sz="4"/>
                  </w:tcBorders>
                </w:tcP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灌溉水</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灌溉量</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pH、镉、汞、砷、铅、铬、铜、锌、镍</w:t>
                  </w:r>
                </w:p>
              </w:tc>
            </w:tr>
            <w:tr>
              <w:tc>
                <w:tcPr>
                  <w:tcW w:type="dxa" w:w="276"/>
                  <w:vMerge/>
                  <w:tcBorders>
                    <w:top w:val="single" w:color="000000" w:sz="4"/>
                    <w:left w:val="single" w:color="000000" w:sz="4"/>
                    <w:bottom w:val="single" w:color="000000" w:sz="4"/>
                    <w:right w:val="single" w:color="000000" w:sz="4"/>
                  </w:tcBorders>
                </w:tcP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底泥</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pH、镉、汞、砷、铅、铬、铜、锌、镍</w:t>
                  </w:r>
                </w:p>
              </w:tc>
            </w:tr>
            <w:tr>
              <w:tc>
                <w:tcPr>
                  <w:tcW w:type="dxa" w:w="276"/>
                  <w:vMerge/>
                  <w:tcBorders>
                    <w:top w:val="single" w:color="000000" w:sz="4"/>
                    <w:left w:val="single" w:color="000000" w:sz="4"/>
                    <w:bottom w:val="single" w:color="000000" w:sz="4"/>
                    <w:right w:val="single" w:color="000000" w:sz="4"/>
                  </w:tcBorders>
                </w:tcP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农业投入品</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投入量（包括复合肥和有机肥等）</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pH、镉、汞、砷、铅、铬、铜、锌、镍</w:t>
                  </w:r>
                </w:p>
              </w:tc>
            </w:tr>
            <w:tr>
              <w:tc>
                <w:tcPr>
                  <w:tcW w:type="dxa" w:w="276"/>
                  <w:vMerge/>
                  <w:tcBorders>
                    <w:top w:val="single" w:color="000000" w:sz="4"/>
                    <w:left w:val="single" w:color="000000" w:sz="4"/>
                    <w:bottom w:val="single" w:color="000000" w:sz="4"/>
                    <w:right w:val="single" w:color="000000" w:sz="4"/>
                  </w:tcBorders>
                </w:tcP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畜禽粪污</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施用量</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pH、镉、汞、砷、铅、铬、铜、锌、镍</w:t>
                  </w:r>
                </w:p>
              </w:tc>
            </w:tr>
            <w:tr>
              <w:tc>
                <w:tcPr>
                  <w:tcW w:type="dxa" w:w="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输出</w:t>
                  </w:r>
                </w:p>
                <w:p>
                  <w:pPr>
                    <w:pStyle w:val="null3"/>
                    <w:jc w:val="center"/>
                  </w:pPr>
                  <w:r>
                    <w:rPr>
                      <w:rFonts w:ascii="仿宋_GB2312" w:hAnsi="仿宋_GB2312" w:cs="仿宋_GB2312" w:eastAsia="仿宋_GB2312"/>
                      <w:sz w:val="21"/>
                      <w:b/>
                      <w:color w:val="000000"/>
                    </w:rPr>
                    <w:t>因素</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作物移除</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作物重量（包括收获物重量和秸秆重量）</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含水率、镉、汞、砷、铅、铬、铜、锌、镍</w:t>
                  </w:r>
                </w:p>
              </w:tc>
            </w:tr>
            <w:tr>
              <w:tc>
                <w:tcPr>
                  <w:tcW w:type="dxa" w:w="276"/>
                  <w:vMerge/>
                  <w:tcBorders>
                    <w:top w:val="single" w:color="000000" w:sz="4"/>
                    <w:left w:val="single" w:color="000000" w:sz="4"/>
                    <w:bottom w:val="single" w:color="000000" w:sz="4"/>
                    <w:right w:val="single" w:color="000000" w:sz="4"/>
                  </w:tcBorders>
                </w:tcP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地表径流</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地表径流量</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pH、镉、汞、砷、铅、铬、铜、锌、镍</w:t>
                  </w:r>
                </w:p>
              </w:tc>
            </w:tr>
            <w:tr>
              <w:tc>
                <w:tcPr>
                  <w:tcW w:type="dxa" w:w="276"/>
                  <w:vMerge/>
                  <w:tcBorders>
                    <w:top w:val="single" w:color="000000" w:sz="4"/>
                    <w:left w:val="single" w:color="000000" w:sz="4"/>
                    <w:bottom w:val="single" w:color="000000" w:sz="4"/>
                    <w:right w:val="single" w:color="000000" w:sz="4"/>
                  </w:tcBorders>
                </w:tcP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地下渗滤</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地下渗滤量</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pH、镉、汞、砷、铅、铬、铜、锌、镍</w:t>
                  </w:r>
                </w:p>
              </w:tc>
            </w:tr>
            <w:tr>
              <w:tc>
                <w:tcPr>
                  <w:tcW w:type="dxa" w:w="27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土壤</w:t>
                  </w:r>
                </w:p>
                <w:p>
                  <w:pPr>
                    <w:pStyle w:val="null3"/>
                    <w:jc w:val="center"/>
                  </w:pPr>
                  <w:r>
                    <w:rPr>
                      <w:rFonts w:ascii="仿宋_GB2312" w:hAnsi="仿宋_GB2312" w:cs="仿宋_GB2312" w:eastAsia="仿宋_GB2312"/>
                      <w:sz w:val="21"/>
                      <w:b/>
                      <w:color w:val="000000"/>
                    </w:rPr>
                    <w:t>和农产品</w:t>
                  </w: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土壤</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pH、有机质、镉、汞、砷、铅、铬、铜、锌、镍</w:t>
                  </w:r>
                </w:p>
              </w:tc>
            </w:tr>
            <w:tr>
              <w:tc>
                <w:tcPr>
                  <w:tcW w:type="dxa" w:w="276"/>
                  <w:vMerge/>
                  <w:tcBorders>
                    <w:top w:val="single" w:color="000000" w:sz="4"/>
                    <w:left w:val="single" w:color="000000" w:sz="4"/>
                    <w:bottom w:val="single" w:color="000000" w:sz="4"/>
                    <w:right w:val="single" w:color="000000" w:sz="4"/>
                  </w:tcBorders>
                </w:tcPr>
                <w:p/>
              </w:tc>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农产品</w:t>
                  </w:r>
                </w:p>
              </w:tc>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镉、汞、砷、铅、铬</w:t>
                  </w:r>
                </w:p>
              </w:tc>
            </w:tr>
          </w:tbl>
          <w:p>
            <w:pPr>
              <w:pStyle w:val="null3"/>
              <w:jc w:val="center"/>
            </w:pPr>
            <w:r>
              <w:rPr>
                <w:rFonts w:ascii="仿宋_GB2312" w:hAnsi="仿宋_GB2312" w:cs="仿宋_GB2312" w:eastAsia="仿宋_GB2312"/>
                <w:sz w:val="21"/>
              </w:rPr>
              <w:t>本项目</w:t>
            </w:r>
            <w:r>
              <w:rPr>
                <w:rFonts w:ascii="仿宋_GB2312" w:hAnsi="仿宋_GB2312" w:cs="仿宋_GB2312" w:eastAsia="仿宋_GB2312"/>
                <w:sz w:val="21"/>
              </w:rPr>
              <w:t>监测</w:t>
            </w:r>
            <w:r>
              <w:rPr>
                <w:rFonts w:ascii="仿宋_GB2312" w:hAnsi="仿宋_GB2312" w:cs="仿宋_GB2312" w:eastAsia="仿宋_GB2312"/>
                <w:sz w:val="21"/>
              </w:rPr>
              <w:t>工作量统计汇总表</w:t>
            </w:r>
          </w:p>
          <w:tbl>
            <w:tblPr>
              <w:tblBorders>
                <w:top w:val="none" w:color="000000" w:sz="4"/>
                <w:left w:val="none" w:color="000000" w:sz="4"/>
                <w:bottom w:val="none" w:color="000000" w:sz="4"/>
                <w:right w:val="none" w:color="000000" w:sz="4"/>
                <w:insideH w:val="none"/>
                <w:insideV w:val="none"/>
              </w:tblBorders>
            </w:tblPr>
            <w:tblGrid>
              <w:gridCol w:w="488"/>
              <w:gridCol w:w="632"/>
              <w:gridCol w:w="326"/>
              <w:gridCol w:w="371"/>
              <w:gridCol w:w="704"/>
            </w:tblGrid>
            <w:tr>
              <w:tc>
                <w:tcPr>
                  <w:tcW w:type="dxa" w:w="112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点位类型</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点位数（个）</w:t>
                  </w:r>
                </w:p>
              </w:tc>
              <w:tc>
                <w:tcPr>
                  <w:tcW w:type="dxa" w:w="3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监测频次（次）</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2025年样品数量</w:t>
                  </w:r>
                </w:p>
                <w:p>
                  <w:pPr>
                    <w:pStyle w:val="null3"/>
                    <w:jc w:val="center"/>
                  </w:pPr>
                  <w:r>
                    <w:rPr>
                      <w:rFonts w:ascii="仿宋_GB2312" w:hAnsi="仿宋_GB2312" w:cs="仿宋_GB2312" w:eastAsia="仿宋_GB2312"/>
                      <w:sz w:val="21"/>
                      <w:color w:val="000000"/>
                    </w:rPr>
                    <w:t>（个）</w:t>
                  </w:r>
                </w:p>
              </w:tc>
            </w:tr>
            <w:tr>
              <w:tc>
                <w:tcPr>
                  <w:tcW w:type="dxa" w:w="48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研判污染成因补充监测</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灌溉水</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底泥</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农业投入品</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畜禽粪污</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土壤（表层）</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土壤（剖面）</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地表径流</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作物移除（籽粒）</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作物移除（秸秆）</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48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核实污染源辅助监测</w:t>
                  </w: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废水</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底泥</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488"/>
                  <w:vMerge/>
                  <w:tcBorders>
                    <w:top w:val="none" w:color="000000" w:sz="4"/>
                    <w:left w:val="single" w:color="000000" w:sz="4"/>
                    <w:bottom w:val="none" w:color="000000" w:sz="4"/>
                    <w:right w:val="single" w:color="000000" w:sz="4"/>
                  </w:tcBorders>
                </w:tcPr>
                <w:p/>
              </w:tc>
              <w:tc>
                <w:tcPr>
                  <w:tcW w:type="dxa" w:w="6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渣堆</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r>
            <w:tr>
              <w:tc>
                <w:tcPr>
                  <w:tcW w:type="dxa" w:w="11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r>
          </w:tbl>
          <w:p>
            <w:pPr>
              <w:pStyle w:val="null3"/>
              <w:jc w:val="both"/>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b/>
                <w:color w:val="000000"/>
              </w:rPr>
              <w:t>四、商务要求</w:t>
            </w:r>
          </w:p>
          <w:p>
            <w:pPr>
              <w:pStyle w:val="null3"/>
              <w:ind w:firstLine="560"/>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、项目实施地点及范围：汉中市南郑区境内</w:t>
            </w:r>
          </w:p>
          <w:p>
            <w:pPr>
              <w:pStyle w:val="null3"/>
              <w:ind w:firstLine="56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、服务期限：</w:t>
            </w:r>
            <w:r>
              <w:rPr>
                <w:rFonts w:ascii="仿宋_GB2312" w:hAnsi="仿宋_GB2312" w:cs="仿宋_GB2312" w:eastAsia="仿宋_GB2312"/>
                <w:sz w:val="21"/>
                <w:color w:val="000000"/>
              </w:rPr>
              <w:t>50</w:t>
            </w:r>
            <w:r>
              <w:rPr>
                <w:rFonts w:ascii="仿宋_GB2312" w:hAnsi="仿宋_GB2312" w:cs="仿宋_GB2312" w:eastAsia="仿宋_GB2312"/>
                <w:sz w:val="21"/>
                <w:color w:val="000000"/>
              </w:rPr>
              <w:t>日历天</w:t>
            </w:r>
          </w:p>
          <w:p>
            <w:pPr>
              <w:pStyle w:val="null3"/>
              <w:ind w:firstLine="56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、质量标准：成果文件符合国家、省及行业现行相关标准、规范和采购人要求，确保数据完整、真实准确、清晰有据。</w:t>
            </w:r>
          </w:p>
          <w:p>
            <w:pPr>
              <w:pStyle w:val="null3"/>
              <w:ind w:firstLine="56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、质量要求：</w:t>
            </w:r>
          </w:p>
          <w:p>
            <w:pPr>
              <w:pStyle w:val="null3"/>
              <w:ind w:firstLine="560"/>
              <w:jc w:val="both"/>
            </w:pPr>
            <w:r>
              <w:rPr>
                <w:rFonts w:ascii="仿宋_GB2312" w:hAnsi="仿宋_GB2312" w:cs="仿宋_GB2312" w:eastAsia="仿宋_GB2312"/>
                <w:sz w:val="21"/>
                <w:color w:val="000000"/>
              </w:rPr>
              <w:t>4.1</w:t>
            </w:r>
            <w:r>
              <w:rPr>
                <w:rFonts w:ascii="仿宋_GB2312" w:hAnsi="仿宋_GB2312" w:cs="仿宋_GB2312" w:eastAsia="仿宋_GB2312"/>
                <w:sz w:val="21"/>
                <w:color w:val="000000"/>
              </w:rPr>
              <w:t>、成交供应商应当对从事样品收集、运送、贮存、处置及监测等工作的人员和管理人员，进行相关法律、专业技术、安全防护及紧急处理等知识的培训。</w:t>
            </w:r>
          </w:p>
          <w:p>
            <w:pPr>
              <w:pStyle w:val="null3"/>
              <w:ind w:firstLine="560"/>
              <w:jc w:val="both"/>
            </w:pPr>
            <w:r>
              <w:rPr>
                <w:rFonts w:ascii="仿宋_GB2312" w:hAnsi="仿宋_GB2312" w:cs="仿宋_GB2312" w:eastAsia="仿宋_GB2312"/>
                <w:sz w:val="21"/>
                <w:color w:val="000000"/>
              </w:rPr>
              <w:t>4.2</w:t>
            </w:r>
            <w:r>
              <w:rPr>
                <w:rFonts w:ascii="仿宋_GB2312" w:hAnsi="仿宋_GB2312" w:cs="仿宋_GB2312" w:eastAsia="仿宋_GB2312"/>
                <w:sz w:val="21"/>
                <w:color w:val="000000"/>
              </w:rPr>
              <w:t>、成交供应商须严格按照安全规程，规范作业，在作业期间发生的一切安全责任事故等事件，供应商自行承担全部责任。如发生突发情况，供应商须无条件服从采购人的派遣、调配，若造成重大影响或经济损失，采购人可直接解除合同，并要求成交人赔偿经济损失。</w:t>
            </w:r>
          </w:p>
          <w:p>
            <w:pPr>
              <w:pStyle w:val="null3"/>
              <w:ind w:firstLine="56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、验收：工作完成后，由由甲方或其上级主管部门组织有关单位组织评审和验收</w:t>
            </w:r>
            <w:r>
              <w:rPr>
                <w:rFonts w:ascii="仿宋_GB2312" w:hAnsi="仿宋_GB2312" w:cs="仿宋_GB2312" w:eastAsia="仿宋_GB2312"/>
                <w:sz w:val="21"/>
                <w:color w:val="000000"/>
              </w:rPr>
              <w:t>（具体事宜由甲乙双方在合同中约定）</w:t>
            </w:r>
            <w:r>
              <w:rPr>
                <w:rFonts w:ascii="仿宋_GB2312" w:hAnsi="仿宋_GB2312" w:cs="仿宋_GB2312" w:eastAsia="仿宋_GB2312"/>
                <w:sz w:val="21"/>
                <w:color w:val="000000"/>
              </w:rPr>
              <w:t>，评审和验收标准应符合相应主管部门的审查要求，评审达不到要求的，成交供应商继续完善至符合要求。</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w:t>
            </w:r>
            <w:r>
              <w:rPr>
                <w:rFonts w:ascii="仿宋_GB2312" w:hAnsi="仿宋_GB2312" w:cs="仿宋_GB2312" w:eastAsia="仿宋_GB2312"/>
                <w:sz w:val="21"/>
                <w:color w:val="000000"/>
              </w:rPr>
              <w:t>、知识产权：采购人在中华人民共和国境内使用投标人提供的货物及服务时免受第三方提出的侵犯其专利权或其它知识产权的起诉。如果第三方提出侵权指控，成交供应商应承担由此而引起的一切法律责任和费用。</w:t>
            </w:r>
          </w:p>
          <w:p>
            <w:pPr>
              <w:pStyle w:val="null3"/>
              <w:ind w:firstLine="56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合同实施：</w:t>
            </w:r>
          </w:p>
          <w:p>
            <w:pPr>
              <w:pStyle w:val="null3"/>
              <w:ind w:firstLine="56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、成交</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应在合同签订后</w:t>
            </w:r>
            <w:r>
              <w:rPr>
                <w:rFonts w:ascii="仿宋_GB2312" w:hAnsi="仿宋_GB2312" w:cs="仿宋_GB2312" w:eastAsia="仿宋_GB2312"/>
                <w:sz w:val="21"/>
                <w:color w:val="000000"/>
              </w:rPr>
              <w:t>3</w:t>
            </w:r>
            <w:r>
              <w:rPr>
                <w:rFonts w:ascii="仿宋_GB2312" w:hAnsi="仿宋_GB2312" w:cs="仿宋_GB2312" w:eastAsia="仿宋_GB2312"/>
                <w:sz w:val="21"/>
                <w:color w:val="000000"/>
              </w:rPr>
              <w:t>个日历日内安排人员就项目实施工作进行安排部署。</w:t>
            </w:r>
          </w:p>
          <w:p>
            <w:pPr>
              <w:pStyle w:val="null3"/>
              <w:ind w:firstLine="56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、若未能在服务期限内完成合同规定的义务，由此对采购人造成的延误和一切损失，由成交</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承担和赔偿。</w:t>
            </w:r>
          </w:p>
          <w:p>
            <w:pPr>
              <w:pStyle w:val="null3"/>
              <w:ind w:firstLine="56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违约责任：</w:t>
            </w:r>
          </w:p>
          <w:p>
            <w:pPr>
              <w:pStyle w:val="null3"/>
              <w:ind w:firstLine="56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1</w:t>
            </w:r>
            <w:r>
              <w:rPr>
                <w:rFonts w:ascii="仿宋_GB2312" w:hAnsi="仿宋_GB2312" w:cs="仿宋_GB2312" w:eastAsia="仿宋_GB2312"/>
                <w:sz w:val="21"/>
                <w:color w:val="000000"/>
              </w:rPr>
              <w:t>、按《中华人民共和国民法典》中的相关条款执行。</w:t>
            </w:r>
          </w:p>
          <w:p>
            <w:pPr>
              <w:pStyle w:val="null3"/>
              <w:ind w:firstLine="56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2</w:t>
            </w:r>
            <w:r>
              <w:rPr>
                <w:rFonts w:ascii="仿宋_GB2312" w:hAnsi="仿宋_GB2312" w:cs="仿宋_GB2312" w:eastAsia="仿宋_GB2312"/>
                <w:sz w:val="21"/>
                <w:color w:val="000000"/>
              </w:rPr>
              <w:t>、未按合同要求提供服务或服务质量不能满足技术要求，采购人有权终止合同，并对供方违约行为进行追究，同时按《中华人民共和国政府采购法》的有关规定进行处罚。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由甲乙双方在合同中约定。</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由甲乙双方在合同中约定。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由甲乙双方在合同中约定。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成交供应商完成采购人需求后支付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由甲乙双方在合同中约定。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供应商需提供加盖公章的《汉中市政府采购供应商资格承诺函》；（详见投标文件格式填写）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供应商为具有独立承担民事责任能力的法人或其他组织或自然人，并出具合法有效的营业执照或事业法人证书等国家规定的相关证明，自然人参与的提供其身份证明；供应商需提供相关证件复印件并盖电子章。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供应商若法定代表人参加投标须提供《法定代表人身份证明》及身份证复印件；法定代表人授权他人参加投标，须提供《法定代表人授权委托书》、被授权人身份证复印件；（详见投标文件格式填写）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检验检测机构资质认定证书</w:t>
            </w:r>
          </w:p>
        </w:tc>
        <w:tc>
          <w:tcPr>
            <w:tcW w:type="dxa" w:w="3322"/>
          </w:tcPr>
          <w:p>
            <w:pPr>
              <w:pStyle w:val="null3"/>
            </w:pPr>
            <w:r>
              <w:rPr>
                <w:rFonts w:ascii="仿宋_GB2312" w:hAnsi="仿宋_GB2312" w:cs="仿宋_GB2312" w:eastAsia="仿宋_GB2312"/>
              </w:rPr>
              <w:t>供应商具备合法有效的市场监督管理部门颁发的《检验检测机构资质认定证书》（CMA证书）；供应商需提供相关证件复印件并盖电子章。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供应商提供中小企业声明函。（本项目为专门面向中、小、微型企业采购项目）。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企业近三年(2022年8月-至今)完成过类似业绩有一项计3分，最多计9分(业绩 以中标通知书、合同协议书为准)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w:t>
            </w:r>
          </w:p>
        </w:tc>
        <w:tc>
          <w:tcPr>
            <w:tcW w:type="dxa" w:w="2492"/>
          </w:tcPr>
          <w:p>
            <w:pPr>
              <w:pStyle w:val="null3"/>
            </w:pPr>
            <w:r>
              <w:rPr>
                <w:rFonts w:ascii="仿宋_GB2312" w:hAnsi="仿宋_GB2312" w:cs="仿宋_GB2312" w:eastAsia="仿宋_GB2312"/>
              </w:rPr>
              <w:t>1、项目负责人三年 (2022年8日至今)承担过一个类似的项目负责人业绩，提供得3分、不提供不得分(绩以中标通知书、合同协议书为准)本项最多得6分； 2、项目负责人具备环境类高级职称得3分，中级职称得2分，其它不得分(以磋商响应文件中附加盖公章的职称证扫描件为准)。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出的突发事件的应急预案，要求每项内容符合采购人需求且详细完善：①针对污染物制定详细清晰的应急预案；②针对交通安全事故制定详细清晰的应急预案；③针对各类恶劣、灾害性天气制定详细清晰的应急预案；④列举其他可能发生的突发事件并制定详细清晰的应急预案。上述内容每项得0-3分，合计12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项目组织方案</w:t>
            </w:r>
          </w:p>
        </w:tc>
        <w:tc>
          <w:tcPr>
            <w:tcW w:type="dxa" w:w="2492"/>
          </w:tcPr>
          <w:p>
            <w:pPr>
              <w:pStyle w:val="null3"/>
            </w:pPr>
            <w:r>
              <w:rPr>
                <w:rFonts w:ascii="仿宋_GB2312" w:hAnsi="仿宋_GB2312" w:cs="仿宋_GB2312" w:eastAsia="仿宋_GB2312"/>
              </w:rPr>
              <w:t>项目组织设计应按以下内容编制: 1、实施方案，有利于项目的实施，方案有效：[10-15]分，内容齐全:[5-10]分，一般:[1-5]分; 2、项目部下设部门合理、专业作业队配置齐全:[3-5]分，一般:[1-3]分; 3、劳动力安排计划合理、可行性强:[3-5]分，一般:[1-3]分; 4、完成本项目所营设施、设备配备计划，内容明确:[3-5]分，一般:[1-3]分; 5、样品收集、运送、贮存、处置及监测等保证措施，内容明确:[3-5]分，一般:[1-3]分; 6、项日实施过程中安全保证措施，内容明确:[3-5]分，一般:[1-3]分; 7、项目实施过程中环境保建措施，内容明确:[3-5]分，一般:[1-3]分; 8、项目进度计划工期保经措施，内容明确:[3-5]分，一般:[1-3]分;</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投标价格最低的投标报价为评审基准价，其价格分为满分。其他供应商的价格分统一按照下列公式计算：投标报价得分=（评审基准价/最后磋商报价）×100×价格权值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详见附件：委托服务合同（仅限于参考）.docx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