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版本号：HRPDZB-2025-005520250909001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镇巴县汉江流域（平安、巴山、巴庙集镇段）水污染治理项目监理采购项目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HRPDZB-2025-0055</w:t>
      </w:r>
      <w:r>
        <w:br/>
      </w:r>
      <w:r>
        <w:br/>
      </w:r>
      <w:r>
        <w:br/>
      </w:r>
    </w:p>
    <w:p>
      <w:pPr>
        <w:pStyle w:val="null3"/>
        <w:jc w:val="center"/>
        <w:outlineLvl w:val="2"/>
      </w:pPr>
      <w:r>
        <w:rPr>
          <w:rFonts w:ascii="仿宋_GB2312" w:hAnsi="仿宋_GB2312" w:cs="仿宋_GB2312" w:eastAsia="仿宋_GB2312"/>
          <w:sz w:val="28"/>
          <w:b/>
        </w:rPr>
        <w:t>汉中市生态环境局镇巴分局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汉中市生态环境局镇巴分局</w:t>
      </w:r>
      <w:r>
        <w:rPr>
          <w:rFonts w:ascii="仿宋_GB2312" w:hAnsi="仿宋_GB2312" w:cs="仿宋_GB2312" w:eastAsia="仿宋_GB2312"/>
        </w:rPr>
        <w:t>委托，拟对</w:t>
      </w:r>
      <w:r>
        <w:rPr>
          <w:rFonts w:ascii="仿宋_GB2312" w:hAnsi="仿宋_GB2312" w:cs="仿宋_GB2312" w:eastAsia="仿宋_GB2312"/>
        </w:rPr>
        <w:t>镇巴县汉江流域（平安、巴山、巴庙集镇段）水污染治理项目监理采购项目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HRPDZB-2025-0055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镇巴县汉江流域（平安、巴山、巴庙集镇段）水污染治理项目监理采购项目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内容包括对猪河（平安集镇段）、黑水河（巴山集镇段）、偏溪河（巴庙集镇段）开展流域水污染治理，拟将居民生活污水全部接入污水处理站处理达标后排放，猪河（平安集镇段）、偏溪河（巴庙集镇段）下游66km设有瀛湖国控断面，黑水河（巴山集镇段）下游20km处设置有任河入汉江国控断面。具体包括施工全过程及保修阶段的全部监理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采购包1（镇巴县汉江流域（平安、巴山、巴庙集镇段）水污染治理项目监理采购项目）：属于专门面向中小企业采购。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 复印件(法定代表人直接参加投标只须提供法定代表人身份证复印件)</w:t>
      </w:r>
    </w:p>
    <w:p>
      <w:pPr>
        <w:pStyle w:val="null3"/>
      </w:pPr>
      <w:r>
        <w:rPr>
          <w:rFonts w:ascii="仿宋_GB2312" w:hAnsi="仿宋_GB2312" w:cs="仿宋_GB2312" w:eastAsia="仿宋_GB2312"/>
        </w:rPr>
        <w:t>4、资质要求：供应商须具有市政公用工程工程监理乙级及以上资质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汉中市生态环境局镇巴分局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魏曼奇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15991968504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13335448555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采购包1：572,320.00元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银行账号：61050165910000000846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汉中市生态环境局镇巴分局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汉中市生态环境局镇巴分局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汉中市生态环境局镇巴分局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联系人：马先生</w:t>
      </w:r>
    </w:p>
    <w:p>
      <w:pPr>
        <w:pStyle w:val="null3"/>
      </w:pPr>
      <w:r>
        <w:rPr>
          <w:rFonts w:ascii="仿宋_GB2312" w:hAnsi="仿宋_GB2312" w:cs="仿宋_GB2312" w:eastAsia="仿宋_GB2312"/>
        </w:rPr>
        <w:t>联系电话：13335448555</w:t>
      </w:r>
    </w:p>
    <w:p>
      <w:pPr>
        <w:pStyle w:val="null3"/>
      </w:pPr>
      <w:r>
        <w:rPr>
          <w:rFonts w:ascii="仿宋_GB2312" w:hAnsi="仿宋_GB2312" w:cs="仿宋_GB2312" w:eastAsia="仿宋_GB2312"/>
        </w:rPr>
        <w:t>地址：镇巴县泾洋街道办龙首融景城6号楼门面房202室</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建设内容包括对猪河（平安集镇段）、黑水河（巴山集镇段）、偏溪河（巴庙集镇段）开展流域水污染治理，拟将居民生活污水全部接入污水处理站处理达标后排放，猪河（平安集镇段）、偏溪河（巴庙集镇段）下游66km设有瀛湖国控断面，黑水河（巴山集镇段）下游20km处设置有任河入汉江国控断面。具体包括施工全过程及保修阶段的全部监理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572,320.00</w:t>
      </w:r>
    </w:p>
    <w:p>
      <w:pPr>
        <w:pStyle w:val="null3"/>
      </w:pPr>
      <w:r>
        <w:rPr>
          <w:rFonts w:ascii="仿宋_GB2312" w:hAnsi="仿宋_GB2312" w:cs="仿宋_GB2312" w:eastAsia="仿宋_GB2312"/>
        </w:rPr>
        <w:t>采购包最高限价（元）: 572,320.00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镇巴县汉江流域（平安、巴山、巴庙集镇段）水污染治理项目监理采购项目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572,320.00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标的名称：镇巴县汉江流域（平安、巴山、巴庙集镇段）水污染治理项目监理采购项目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项目技术、服务 （一）项目内容：本项目建设内容包括对猪河（平安集镇段）、黑水河（巴山集镇段）、偏溪河（巴庙集镇段）开展流域水污染治理，拟将居民生活污水全部接入污水处理站处理达标后排放，猪河（平安集镇段）、偏溪河（巴庙集镇段）下游66km设有瀛湖国控断面，黑水河（巴山集镇段）下游20km处设置有任河入汉江国控断面。具体包括施工全过程及保修阶段的全部监理服务工作。 二、商务及其他要 （一）质量要求：工程质量达到国家现行《施工质量验收规范》合格标准。 （二）服务期：施工全过程及保修阶段的全部监理服务工作。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签订后至施工结束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镇巴县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工程开工后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1、依据《中华人民共和国民法典》、《中华人民共和国政府采购法》的相关条款和本合同约定的相关条款执行。 2、成交供应商未按合同要求履行，不符合磋商技术要求，成交供应商必须无条件更换人员或设备，提高技术，完善质量，否则，采购人有权终止合同，并对成交供应商的违约行为进行追究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 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供应商须具有市政公用工程工程监理乙级及以上资质</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供应商提供近五年( 2020 年1 月1日-至今)已完成业绩，提供1 个业绩得 2 分，最多得6分，未提供不得分(注： 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延期服务承诺</w:t>
            </w:r>
          </w:p>
        </w:tc>
        <w:tc>
          <w:tcPr>
            <w:tcW w:type="dxa" w:w="2492"/>
          </w:tcPr>
          <w:p>
            <w:pPr>
              <w:pStyle w:val="null3"/>
            </w:pPr>
            <w:r>
              <w:rPr>
                <w:rFonts w:ascii="仿宋_GB2312" w:hAnsi="仿宋_GB2312" w:cs="仿宋_GB2312" w:eastAsia="仿宋_GB2312"/>
              </w:rPr>
              <w:t>1、承诺工期延期15%（含15%）以内，延期增加费为零的加6分； 2、承诺工期延期10%（含10%）以内，延期增加费为零的加4分； 3、承诺工期延期5%（含5%）以内，延期增加费为零的加2分；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延期服务承诺.docx</w:t>
            </w:r>
          </w:p>
        </w:tc>
      </w:tr>
      <w:tr>
        <w:tc>
          <w:tcPr>
            <w:tcW w:type="dxa" w:w="831"/>
            <w:vMerge/>
          </w:tcPr>
          <w:p/>
        </w:tc>
        <w:tc>
          <w:tcPr>
            <w:tcW w:type="dxa" w:w="1661"/>
          </w:tcPr>
          <w:p>
            <w:pPr>
              <w:pStyle w:val="null3"/>
            </w:pPr>
            <w:r>
              <w:rPr>
                <w:rFonts w:ascii="仿宋_GB2312" w:hAnsi="仿宋_GB2312" w:cs="仿宋_GB2312" w:eastAsia="仿宋_GB2312"/>
              </w:rPr>
              <w:t>监理工作目标及监理依据</w:t>
            </w:r>
          </w:p>
        </w:tc>
        <w:tc>
          <w:tcPr>
            <w:tcW w:type="dxa" w:w="2492"/>
          </w:tcPr>
          <w:p>
            <w:pPr>
              <w:pStyle w:val="null3"/>
            </w:pPr>
            <w:r>
              <w:rPr>
                <w:rFonts w:ascii="仿宋_GB2312" w:hAnsi="仿宋_GB2312" w:cs="仿宋_GB2312" w:eastAsia="仿宋_GB2312"/>
              </w:rPr>
              <w:t>目标及依据一般得0-3分； 目标及依据较为合理得4-6分； 目标明确，依据全面、合理得7-10分。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监理工作目标及监理依据.docx</w:t>
            </w:r>
          </w:p>
        </w:tc>
      </w:tr>
      <w:tr>
        <w:tc>
          <w:tcPr>
            <w:tcW w:type="dxa" w:w="831"/>
            <w:vMerge/>
          </w:tcPr>
          <w:p/>
        </w:tc>
        <w:tc>
          <w:tcPr>
            <w:tcW w:type="dxa" w:w="1661"/>
          </w:tcPr>
          <w:p>
            <w:pPr>
              <w:pStyle w:val="null3"/>
            </w:pPr>
            <w:r>
              <w:rPr>
                <w:rFonts w:ascii="仿宋_GB2312" w:hAnsi="仿宋_GB2312" w:cs="仿宋_GB2312" w:eastAsia="仿宋_GB2312"/>
              </w:rPr>
              <w:t>监理工作实施方案</w:t>
            </w:r>
          </w:p>
        </w:tc>
        <w:tc>
          <w:tcPr>
            <w:tcW w:type="dxa" w:w="2492"/>
          </w:tcPr>
          <w:p>
            <w:pPr>
              <w:pStyle w:val="null3"/>
            </w:pPr>
            <w:r>
              <w:rPr>
                <w:rFonts w:ascii="仿宋_GB2312" w:hAnsi="仿宋_GB2312" w:cs="仿宋_GB2312" w:eastAsia="仿宋_GB2312"/>
              </w:rPr>
              <w:t>实施方案一般得0-3分； 方案较为详细、科学、合理、全面得4-6分； 方案详细、科学、合理、全面得7-10分。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监理工作实施方案.docx</w:t>
            </w:r>
          </w:p>
        </w:tc>
      </w:tr>
      <w:tr>
        <w:tc>
          <w:tcPr>
            <w:tcW w:type="dxa" w:w="831"/>
            <w:vMerge/>
          </w:tcPr>
          <w:p/>
        </w:tc>
        <w:tc>
          <w:tcPr>
            <w:tcW w:type="dxa" w:w="1661"/>
          </w:tcPr>
          <w:p>
            <w:pPr>
              <w:pStyle w:val="null3"/>
            </w:pPr>
            <w:r>
              <w:rPr>
                <w:rFonts w:ascii="仿宋_GB2312" w:hAnsi="仿宋_GB2312" w:cs="仿宋_GB2312" w:eastAsia="仿宋_GB2312"/>
              </w:rPr>
              <w:t>组织协调措施</w:t>
            </w:r>
          </w:p>
        </w:tc>
        <w:tc>
          <w:tcPr>
            <w:tcW w:type="dxa" w:w="2492"/>
          </w:tcPr>
          <w:p>
            <w:pPr>
              <w:pStyle w:val="null3"/>
            </w:pPr>
            <w:r>
              <w:rPr>
                <w:rFonts w:ascii="仿宋_GB2312" w:hAnsi="仿宋_GB2312" w:cs="仿宋_GB2312" w:eastAsia="仿宋_GB2312"/>
              </w:rPr>
              <w:t>合理性和可行性较差的得0-3分； 基本合理可行的得4-6分； 措施科学、合理、可行得7-10分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组织协调措施.docx</w:t>
            </w:r>
          </w:p>
        </w:tc>
      </w:tr>
      <w:tr>
        <w:tc>
          <w:tcPr>
            <w:tcW w:type="dxa" w:w="831"/>
            <w:vMerge/>
          </w:tcPr>
          <w:p/>
        </w:tc>
        <w:tc>
          <w:tcPr>
            <w:tcW w:type="dxa" w:w="1661"/>
          </w:tcPr>
          <w:p>
            <w:pPr>
              <w:pStyle w:val="null3"/>
            </w:pPr>
            <w:r>
              <w:rPr>
                <w:rFonts w:ascii="仿宋_GB2312" w:hAnsi="仿宋_GB2312" w:cs="仿宋_GB2312" w:eastAsia="仿宋_GB2312"/>
              </w:rPr>
              <w:t>监理人员配置情况</w:t>
            </w:r>
          </w:p>
        </w:tc>
        <w:tc>
          <w:tcPr>
            <w:tcW w:type="dxa" w:w="2492"/>
          </w:tcPr>
          <w:p>
            <w:pPr>
              <w:pStyle w:val="null3"/>
            </w:pPr>
            <w:r>
              <w:rPr>
                <w:rFonts w:ascii="仿宋_GB2312" w:hAnsi="仿宋_GB2312" w:cs="仿宋_GB2312" w:eastAsia="仿宋_GB2312"/>
              </w:rPr>
              <w:t>人员配置满足竞争性磋商文件要求得基本分4分，每增加一名专业监理工程师增加1分，此项满分6分。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监理人员配置情况.docx</w:t>
            </w:r>
          </w:p>
        </w:tc>
      </w:tr>
      <w:tr>
        <w:tc>
          <w:tcPr>
            <w:tcW w:type="dxa" w:w="831"/>
            <w:vMerge/>
          </w:tcPr>
          <w:p/>
        </w:tc>
        <w:tc>
          <w:tcPr>
            <w:tcW w:type="dxa" w:w="1661"/>
          </w:tcPr>
          <w:p>
            <w:pPr>
              <w:pStyle w:val="null3"/>
            </w:pPr>
            <w:r>
              <w:rPr>
                <w:rFonts w:ascii="仿宋_GB2312" w:hAnsi="仿宋_GB2312" w:cs="仿宋_GB2312" w:eastAsia="仿宋_GB2312"/>
              </w:rPr>
              <w:t>拟投入仪器、检测设备</w:t>
            </w:r>
          </w:p>
        </w:tc>
        <w:tc>
          <w:tcPr>
            <w:tcW w:type="dxa" w:w="2492"/>
          </w:tcPr>
          <w:p>
            <w:pPr>
              <w:pStyle w:val="null3"/>
            </w:pPr>
            <w:r>
              <w:rPr>
                <w:rFonts w:ascii="仿宋_GB2312" w:hAnsi="仿宋_GB2312" w:cs="仿宋_GB2312" w:eastAsia="仿宋_GB2312"/>
              </w:rPr>
              <w:t>仪器设备配置一般得0-1分； 配置基本满足要求得2-3分； 仪器设备配置齐全、合理、满足要求得4分。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拟投入仪器、检测设备.docx</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合理性和可行性较差的得0-2分； 基本合理可行的得3-4分； 措施科学、合理、可行的得5-7分。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安全文明施工监督管理措施.docx</w:t>
            </w:r>
          </w:p>
        </w:tc>
      </w:tr>
      <w:tr>
        <w:tc>
          <w:tcPr>
            <w:tcW w:type="dxa" w:w="831"/>
            <w:vMerge/>
          </w:tcPr>
          <w:p/>
        </w:tc>
        <w:tc>
          <w:tcPr>
            <w:tcW w:type="dxa" w:w="1661"/>
          </w:tcPr>
          <w:p>
            <w:pPr>
              <w:pStyle w:val="null3"/>
            </w:pPr>
            <w:r>
              <w:rPr>
                <w:rFonts w:ascii="仿宋_GB2312" w:hAnsi="仿宋_GB2312" w:cs="仿宋_GB2312" w:eastAsia="仿宋_GB2312"/>
              </w:rPr>
              <w:t>合同方面协调管理措施</w:t>
            </w:r>
          </w:p>
        </w:tc>
        <w:tc>
          <w:tcPr>
            <w:tcW w:type="dxa" w:w="2492"/>
          </w:tcPr>
          <w:p>
            <w:pPr>
              <w:pStyle w:val="null3"/>
            </w:pPr>
            <w:r>
              <w:rPr>
                <w:rFonts w:ascii="仿宋_GB2312" w:hAnsi="仿宋_GB2312" w:cs="仿宋_GB2312" w:eastAsia="仿宋_GB2312"/>
              </w:rPr>
              <w:t>协调措施一般得0-2分； 协调措施 较为科学、合理得3-4分； 协调措 施科学、合理、全面得5-7分。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合同方面协调管理措施.docx</w:t>
            </w:r>
          </w:p>
        </w:tc>
      </w:tr>
      <w:tr>
        <w:tc>
          <w:tcPr>
            <w:tcW w:type="dxa" w:w="831"/>
            <w:vMerge/>
          </w:tcPr>
          <w:p/>
        </w:tc>
        <w:tc>
          <w:tcPr>
            <w:tcW w:type="dxa" w:w="1661"/>
          </w:tcPr>
          <w:p>
            <w:pPr>
              <w:pStyle w:val="null3"/>
            </w:pPr>
            <w:r>
              <w:rPr>
                <w:rFonts w:ascii="仿宋_GB2312" w:hAnsi="仿宋_GB2312" w:cs="仿宋_GB2312" w:eastAsia="仿宋_GB2312"/>
              </w:rPr>
              <w:t>信息方面协调管理措施</w:t>
            </w:r>
          </w:p>
        </w:tc>
        <w:tc>
          <w:tcPr>
            <w:tcW w:type="dxa" w:w="2492"/>
          </w:tcPr>
          <w:p>
            <w:pPr>
              <w:pStyle w:val="null3"/>
            </w:pPr>
            <w:r>
              <w:rPr>
                <w:rFonts w:ascii="仿宋_GB2312" w:hAnsi="仿宋_GB2312" w:cs="仿宋_GB2312" w:eastAsia="仿宋_GB2312"/>
              </w:rPr>
              <w:t>协调措施一般得0-2分； 协调措施较为科学、合理得3-4分； 协调措施科学、合理、全面得5-7分。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信息方面协调管理措施.docx</w:t>
            </w:r>
          </w:p>
        </w:tc>
      </w:tr>
      <w:tr>
        <w:tc>
          <w:tcPr>
            <w:tcW w:type="dxa" w:w="831"/>
            <w:vMerge/>
          </w:tcPr>
          <w:p/>
        </w:tc>
        <w:tc>
          <w:tcPr>
            <w:tcW w:type="dxa" w:w="1661"/>
          </w:tcPr>
          <w:p>
            <w:pPr>
              <w:pStyle w:val="null3"/>
            </w:pPr>
            <w:r>
              <w:rPr>
                <w:rFonts w:ascii="仿宋_GB2312" w:hAnsi="仿宋_GB2312" w:cs="仿宋_GB2312" w:eastAsia="仿宋_GB2312"/>
              </w:rPr>
              <w:t>重点部位及关键工序的控制方法</w:t>
            </w:r>
          </w:p>
        </w:tc>
        <w:tc>
          <w:tcPr>
            <w:tcW w:type="dxa" w:w="2492"/>
          </w:tcPr>
          <w:p>
            <w:pPr>
              <w:pStyle w:val="null3"/>
            </w:pPr>
            <w:r>
              <w:rPr>
                <w:rFonts w:ascii="仿宋_GB2312" w:hAnsi="仿宋_GB2312" w:cs="仿宋_GB2312" w:eastAsia="仿宋_GB2312"/>
              </w:rPr>
              <w:t>方法一般得0-3分； 方法较为科学、合理得4-6分； 方法科学、合理、全面得7-10分。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重点部位及关键工序的控制方法.docx</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措施一般得0-2分； 措施较为科学、合理得3-4分； 措施科学、合理、全面得5-7分。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保修阶段的服务管理措施.docx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详见附件：延期服务承诺.docx</w:t>
      </w:r>
    </w:p>
    <w:p>
      <w:pPr>
        <w:pStyle w:val="null3"/>
        <w:ind w:firstLine="960"/>
      </w:pPr>
      <w:r>
        <w:rPr>
          <w:rFonts w:ascii="仿宋_GB2312" w:hAnsi="仿宋_GB2312" w:cs="仿宋_GB2312" w:eastAsia="仿宋_GB2312"/>
        </w:rPr>
        <w:t>详见附件：监理工作目标及监理依据.docx</w:t>
      </w:r>
    </w:p>
    <w:p>
      <w:pPr>
        <w:pStyle w:val="null3"/>
        <w:ind w:firstLine="960"/>
      </w:pPr>
      <w:r>
        <w:rPr>
          <w:rFonts w:ascii="仿宋_GB2312" w:hAnsi="仿宋_GB2312" w:cs="仿宋_GB2312" w:eastAsia="仿宋_GB2312"/>
        </w:rPr>
        <w:t>详见附件：监理工作实施方案.docx</w:t>
      </w:r>
    </w:p>
    <w:p>
      <w:pPr>
        <w:pStyle w:val="null3"/>
        <w:ind w:firstLine="960"/>
      </w:pPr>
      <w:r>
        <w:rPr>
          <w:rFonts w:ascii="仿宋_GB2312" w:hAnsi="仿宋_GB2312" w:cs="仿宋_GB2312" w:eastAsia="仿宋_GB2312"/>
        </w:rPr>
        <w:t>详见附件：组织协调措施.docx</w:t>
      </w:r>
    </w:p>
    <w:p>
      <w:pPr>
        <w:pStyle w:val="null3"/>
        <w:ind w:firstLine="960"/>
      </w:pPr>
      <w:r>
        <w:rPr>
          <w:rFonts w:ascii="仿宋_GB2312" w:hAnsi="仿宋_GB2312" w:cs="仿宋_GB2312" w:eastAsia="仿宋_GB2312"/>
        </w:rPr>
        <w:t>详见附件：监理人员配置情况.docx</w:t>
      </w:r>
    </w:p>
    <w:p>
      <w:pPr>
        <w:pStyle w:val="null3"/>
        <w:ind w:firstLine="960"/>
      </w:pPr>
      <w:r>
        <w:rPr>
          <w:rFonts w:ascii="仿宋_GB2312" w:hAnsi="仿宋_GB2312" w:cs="仿宋_GB2312" w:eastAsia="仿宋_GB2312"/>
        </w:rPr>
        <w:t>详见附件：拟投入仪器、检测设备.docx</w:t>
      </w:r>
    </w:p>
    <w:p>
      <w:pPr>
        <w:pStyle w:val="null3"/>
        <w:ind w:firstLine="960"/>
      </w:pPr>
      <w:r>
        <w:rPr>
          <w:rFonts w:ascii="仿宋_GB2312" w:hAnsi="仿宋_GB2312" w:cs="仿宋_GB2312" w:eastAsia="仿宋_GB2312"/>
        </w:rPr>
        <w:t>详见附件：安全文明施工监督管理措施.docx</w:t>
      </w:r>
    </w:p>
    <w:p>
      <w:pPr>
        <w:pStyle w:val="null3"/>
        <w:ind w:firstLine="960"/>
      </w:pPr>
      <w:r>
        <w:rPr>
          <w:rFonts w:ascii="仿宋_GB2312" w:hAnsi="仿宋_GB2312" w:cs="仿宋_GB2312" w:eastAsia="仿宋_GB2312"/>
        </w:rPr>
        <w:t>详见附件：合同方面协调管理措施.docx</w:t>
      </w:r>
    </w:p>
    <w:p>
      <w:pPr>
        <w:pStyle w:val="null3"/>
        <w:ind w:firstLine="960"/>
      </w:pPr>
      <w:r>
        <w:rPr>
          <w:rFonts w:ascii="仿宋_GB2312" w:hAnsi="仿宋_GB2312" w:cs="仿宋_GB2312" w:eastAsia="仿宋_GB2312"/>
        </w:rPr>
        <w:t>详见附件：信息方面协调管理措施.docx</w:t>
      </w:r>
    </w:p>
    <w:p>
      <w:pPr>
        <w:pStyle w:val="null3"/>
        <w:ind w:firstLine="960"/>
      </w:pPr>
      <w:r>
        <w:rPr>
          <w:rFonts w:ascii="仿宋_GB2312" w:hAnsi="仿宋_GB2312" w:cs="仿宋_GB2312" w:eastAsia="仿宋_GB2312"/>
        </w:rPr>
        <w:t>详见附件：重点部位及关键工序的控制方法.docx</w:t>
      </w:r>
    </w:p>
    <w:p>
      <w:pPr>
        <w:pStyle w:val="null3"/>
        <w:ind w:firstLine="960"/>
      </w:pPr>
      <w:r>
        <w:rPr>
          <w:rFonts w:ascii="仿宋_GB2312" w:hAnsi="仿宋_GB2312" w:cs="仿宋_GB2312" w:eastAsia="仿宋_GB2312"/>
        </w:rPr>
        <w:t>详见附件：保修阶段的服务管理措施.docx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