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版本号：GLD2025-080701Z20250808001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HIS、EMR、PACS等维保服务采购项目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GLD2025-080701Z</w:t>
      </w:r>
      <w:r>
        <w:br/>
      </w:r>
      <w:r>
        <w:br/>
      </w:r>
      <w:r>
        <w:br/>
      </w:r>
    </w:p>
    <w:p>
      <w:pPr>
        <w:pStyle w:val="null3"/>
        <w:jc w:val="center"/>
        <w:outlineLvl w:val="2"/>
      </w:pPr>
      <w:r>
        <w:rPr>
          <w:rFonts w:ascii="仿宋_GB2312" w:hAnsi="仿宋_GB2312" w:cs="仿宋_GB2312" w:eastAsia="仿宋_GB2312"/>
          <w:sz w:val="28"/>
          <w:b/>
        </w:rPr>
        <w:t>汉中市中心医院</w:t>
      </w:r>
    </w:p>
    <w:p>
      <w:pPr>
        <w:pStyle w:val="null3"/>
        <w:jc w:val="center"/>
        <w:outlineLvl w:val="2"/>
      </w:pPr>
      <w:r>
        <w:rPr>
          <w:rFonts w:ascii="仿宋_GB2312" w:hAnsi="仿宋_GB2312" w:cs="仿宋_GB2312" w:eastAsia="仿宋_GB2312"/>
          <w:sz w:val="28"/>
          <w:b/>
        </w:rPr>
        <w:t>陕西广联达招标有限公司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陕西广联达招标有限公司</w:t>
      </w:r>
      <w:r>
        <w:rPr>
          <w:rFonts w:ascii="仿宋_GB2312" w:hAnsi="仿宋_GB2312" w:cs="仿宋_GB2312" w:eastAsia="仿宋_GB2312"/>
        </w:rPr>
        <w:t>（以下简称“代理机构”）受</w:t>
      </w:r>
      <w:r>
        <w:rPr>
          <w:rFonts w:ascii="仿宋_GB2312" w:hAnsi="仿宋_GB2312" w:cs="仿宋_GB2312" w:eastAsia="仿宋_GB2312"/>
        </w:rPr>
        <w:t>汉中市中心医院</w:t>
      </w:r>
      <w:r>
        <w:rPr>
          <w:rFonts w:ascii="仿宋_GB2312" w:hAnsi="仿宋_GB2312" w:cs="仿宋_GB2312" w:eastAsia="仿宋_GB2312"/>
        </w:rPr>
        <w:t>委托，拟对</w:t>
      </w:r>
      <w:r>
        <w:rPr>
          <w:rFonts w:ascii="仿宋_GB2312" w:hAnsi="仿宋_GB2312" w:cs="仿宋_GB2312" w:eastAsia="仿宋_GB2312"/>
        </w:rPr>
        <w:t>HIS、EMR、PACS等维保服务采购项目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GLD2025-080701Z</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HIS、EMR、PACS等维保服务采购项目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HIS、EMR、PACS等维保服务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)，供应商应按照汉中市财政局《关于全面推行政府采购供应商基本资格条件承诺制的通知》（汉采办采管〔2024〕20号）文件要求，须提供加盖公章的《汉中市政府采购供应商资格承诺函》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汉中市汉台区康复路22号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0916-2682065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陕西广联达招标有限公司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西安经济技术开发区明光路 55号天朗经开中心 25 层 2505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17792615459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代理服务费收费标准：成交人在领取成交通知书时，参照国家计委《招标代理服务收费管理暂行办法》(计价格〔2002〕1980号)及国家发展改革委《关于降低部分建设项目收费标准规范收费行为等有关问题的通知 》（发改价格[2011]534号）文件的规定向陕西广联达招标有限公司交纳招标服务费。名称：陕西广联达招标有限公司，开户行：中国银行股份有限公司西安万寿路支行， 账号：1028 4964 6773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汉中市中心医院</w:t>
      </w:r>
      <w:r>
        <w:rPr>
          <w:rFonts w:ascii="仿宋_GB2312" w:hAnsi="仿宋_GB2312" w:cs="仿宋_GB2312" w:eastAsia="仿宋_GB2312"/>
        </w:rPr>
        <w:t>和</w:t>
      </w:r>
      <w:r>
        <w:rPr>
          <w:rFonts w:ascii="仿宋_GB2312" w:hAnsi="仿宋_GB2312" w:cs="仿宋_GB2312" w:eastAsia="仿宋_GB2312"/>
        </w:rPr>
        <w:t>陕西广联达招标有限公司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陕西广联达招标有限公司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陕西广联达招标有限公司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符合国家、行业现行的安全、质量等相关标准规范要求。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陕西广联达招标有限公司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联系电话：17792615459</w:t>
      </w:r>
    </w:p>
    <w:p>
      <w:pPr>
        <w:pStyle w:val="null3"/>
      </w:pPr>
      <w:r>
        <w:rPr>
          <w:rFonts w:ascii="仿宋_GB2312" w:hAnsi="仿宋_GB2312" w:cs="仿宋_GB2312" w:eastAsia="仿宋_GB2312"/>
        </w:rPr>
        <w:t>地址：西安经济技术开发区明光路55号天朗经开中心25层2505室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HIS、EMR、PACS等维保服务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820,000.00</w:t>
      </w:r>
    </w:p>
    <w:p>
      <w:pPr>
        <w:pStyle w:val="null3"/>
      </w:pPr>
      <w:r>
        <w:rPr>
          <w:rFonts w:ascii="仿宋_GB2312" w:hAnsi="仿宋_GB2312" w:cs="仿宋_GB2312" w:eastAsia="仿宋_GB2312"/>
        </w:rPr>
        <w:t>采购包最高限价（元）: 820,000.00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HIS、EMR、PACS等维保服务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标的名称：HIS、EMR、PACS等维保服务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65" w:after="165"/>
              <w:jc w:val="both"/>
              <w:outlineLvl w:val="0"/>
            </w:pPr>
            <w:r>
              <w:rPr>
                <w:rFonts w:ascii="仿宋_GB2312" w:hAnsi="仿宋_GB2312" w:cs="仿宋_GB2312" w:eastAsia="仿宋_GB2312"/>
                <w:sz w:val="30"/>
                <w:b/>
              </w:rPr>
              <w:t>1</w:t>
            </w:r>
            <w:r>
              <w:rPr>
                <w:rFonts w:ascii="仿宋_GB2312" w:hAnsi="仿宋_GB2312" w:cs="仿宋_GB2312" w:eastAsia="仿宋_GB2312"/>
                <w:sz w:val="30"/>
                <w:b/>
              </w:rPr>
              <w:t>项目背景</w:t>
            </w:r>
          </w:p>
          <w:p>
            <w:pPr>
              <w:pStyle w:val="null3"/>
              <w:ind w:firstLine="560"/>
              <w:jc w:val="both"/>
            </w:pPr>
            <w:r>
              <w:rPr>
                <w:rFonts w:ascii="仿宋_GB2312" w:hAnsi="仿宋_GB2312" w:cs="仿宋_GB2312" w:eastAsia="仿宋_GB2312"/>
                <w:sz w:val="28"/>
              </w:rPr>
              <w:t>本次维保内容包含医院信息管理系统（</w:t>
            </w:r>
            <w:r>
              <w:rPr>
                <w:rFonts w:ascii="仿宋_GB2312" w:hAnsi="仿宋_GB2312" w:cs="仿宋_GB2312" w:eastAsia="仿宋_GB2312"/>
                <w:sz w:val="28"/>
              </w:rPr>
              <w:t>HIS）、门诊医生工作站、住院医生工作站、电子病历系统、病区护士工作站、医技PACS、自助机软件系统、统一支付平台、物资管理系统、不良事件管理系统等</w:t>
            </w:r>
            <w:r>
              <w:rPr>
                <w:rFonts w:ascii="仿宋_GB2312" w:hAnsi="仿宋_GB2312" w:cs="仿宋_GB2312" w:eastAsia="仿宋_GB2312"/>
                <w:sz w:val="28"/>
              </w:rPr>
              <w:t>67</w:t>
            </w:r>
            <w:r>
              <w:rPr>
                <w:rFonts w:ascii="仿宋_GB2312" w:hAnsi="仿宋_GB2312" w:cs="仿宋_GB2312" w:eastAsia="仿宋_GB2312"/>
                <w:sz w:val="28"/>
              </w:rPr>
              <w:t>个业务子系统。</w:t>
            </w:r>
          </w:p>
          <w:p>
            <w:pPr>
              <w:pStyle w:val="null3"/>
              <w:spacing w:before="165" w:after="165"/>
              <w:jc w:val="both"/>
              <w:outlineLvl w:val="0"/>
            </w:pPr>
            <w:r>
              <w:rPr>
                <w:rFonts w:ascii="仿宋_GB2312" w:hAnsi="仿宋_GB2312" w:cs="仿宋_GB2312" w:eastAsia="仿宋_GB2312"/>
                <w:sz w:val="30"/>
                <w:b/>
              </w:rPr>
              <w:t>2</w:t>
            </w:r>
            <w:r>
              <w:rPr>
                <w:rFonts w:ascii="仿宋_GB2312" w:hAnsi="仿宋_GB2312" w:cs="仿宋_GB2312" w:eastAsia="仿宋_GB2312"/>
                <w:sz w:val="30"/>
                <w:b/>
              </w:rPr>
              <w:t>服务范围及方式</w:t>
            </w:r>
          </w:p>
          <w:p>
            <w:pPr>
              <w:pStyle w:val="null3"/>
              <w:spacing w:before="165"/>
              <w:jc w:val="both"/>
              <w:outlineLvl w:val="1"/>
            </w:pPr>
            <w:r>
              <w:rPr>
                <w:rFonts w:ascii="仿宋_GB2312" w:hAnsi="仿宋_GB2312" w:cs="仿宋_GB2312" w:eastAsia="仿宋_GB2312"/>
                <w:sz w:val="28"/>
                <w:b/>
              </w:rPr>
              <w:t>2.1</w:t>
            </w:r>
            <w:r>
              <w:rPr>
                <w:rFonts w:ascii="仿宋_GB2312" w:hAnsi="仿宋_GB2312" w:cs="仿宋_GB2312" w:eastAsia="仿宋_GB2312"/>
                <w:sz w:val="28"/>
                <w:b/>
              </w:rPr>
              <w:t>软件服务清单</w:t>
            </w:r>
          </w:p>
          <w:tbl>
            <w:tblPr>
              <w:tblInd w:type="dxa" w:w="135"/>
              <w:tblBorders>
                <w:top w:val="none" w:color="000000" w:sz="4"/>
                <w:left w:val="none" w:color="000000" w:sz="4"/>
                <w:bottom w:val="none" w:color="000000" w:sz="4"/>
                <w:right w:val="none" w:color="000000" w:sz="4"/>
                <w:insideH w:val="none"/>
                <w:insideV w:val="none"/>
              </w:tblBorders>
            </w:tblPr>
            <w:tblGrid>
              <w:gridCol w:w="308"/>
              <w:gridCol w:w="714"/>
              <w:gridCol w:w="1531"/>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系统分类</w:t>
                  </w:r>
                </w:p>
              </w:tc>
              <w:tc>
                <w:tcPr>
                  <w:tcW w:type="dxa" w:w="15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系统名称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医院信息系统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门诊收费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门诊预约就医</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药库管理系统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医技收费管理系统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住院收费</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w:t>
                  </w:r>
                </w:p>
              </w:tc>
              <w:tc>
                <w:tcPr>
                  <w:tcW w:type="dxa" w:w="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临床信息系统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门诊临床信息系统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门诊护士站</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门诊输液管理系统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9</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住院临床信息系统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10</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住院临床路径</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11</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住院电子病历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12</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抗菌药物管理系统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13</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病历质量控制系统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病区护士站</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护士随访</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16</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护理交班</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17</w:t>
                  </w:r>
                </w:p>
              </w:tc>
              <w:tc>
                <w:tcPr>
                  <w:tcW w:type="dxa" w:w="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病案系统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病案管理系统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18</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HQMS</w:t>
                  </w:r>
                  <w:r>
                    <w:rPr>
                      <w:rFonts w:ascii="仿宋_GB2312" w:hAnsi="仿宋_GB2312" w:cs="仿宋_GB2312" w:eastAsia="仿宋_GB2312"/>
                      <w:sz w:val="24"/>
                    </w:rPr>
                    <w:t>上报系统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不良事件管理系统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不良事件管理系统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院感管理系统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院感管理系统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21</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康复管理系统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康复管理系统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22</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高压氧管理系统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高压氧管理系统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23</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手术管理系统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手术管理系统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24</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院长查询系统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院长查询系统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25</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统一支付平台</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统一支付平台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统一对账平台</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统一对账平台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日间手术系统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日间手术系统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28</w:t>
                  </w:r>
                </w:p>
              </w:tc>
              <w:tc>
                <w:tcPr>
                  <w:tcW w:type="dxa" w:w="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大自助机软件</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患者建档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29</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自助机预约挂号</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30</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自助机预约挂号</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31</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自助报告打印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32</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自助缴费（微信、支付宝、医保、现金）</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33</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自助查询</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34</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自助住院预交金充值</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住院查询</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36</w:t>
                  </w:r>
                </w:p>
              </w:tc>
              <w:tc>
                <w:tcPr>
                  <w:tcW w:type="dxa" w:w="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诊间</w:t>
                  </w:r>
                  <w:r>
                    <w:rPr>
                      <w:rFonts w:ascii="仿宋_GB2312" w:hAnsi="仿宋_GB2312" w:cs="仿宋_GB2312" w:eastAsia="仿宋_GB2312"/>
                      <w:sz w:val="24"/>
                    </w:rPr>
                    <w:t>MINI</w:t>
                  </w:r>
                  <w:r>
                    <w:rPr>
                      <w:rFonts w:ascii="仿宋_GB2312" w:hAnsi="仿宋_GB2312" w:cs="仿宋_GB2312" w:eastAsia="仿宋_GB2312"/>
                      <w:sz w:val="24"/>
                    </w:rPr>
                    <w:t>自助软件</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患者建档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37</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自助机预约挂号</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38</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自助机预约挂号</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39</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自助缴费（微信、支付宝、电子医保、现金）</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自助查询</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41</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自助住院预交金充值</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42</w:t>
                  </w:r>
                </w:p>
              </w:tc>
              <w:tc>
                <w:tcPr>
                  <w:tcW w:type="dxa" w:w="714"/>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物资管理信息系统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首页</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43</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基础信息</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44</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目录管理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45</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采购管理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46</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跟台采购</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47</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发票管理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48</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统计查询</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49</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系统设置</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50</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供应商系统对接</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51</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耗材基础管理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52</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全院请领平台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53</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高值耗材管理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54</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二级库管理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55</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试剂耗材管理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56</w:t>
                  </w:r>
                </w:p>
              </w:tc>
              <w:tc>
                <w:tcPr>
                  <w:tcW w:type="dxa" w:w="714"/>
                  <w:vMerge/>
                  <w:tcBorders>
                    <w:top w:val="none" w:color="000000" w:sz="4"/>
                    <w:left w:val="none" w:color="000000" w:sz="4"/>
                    <w:bottom w:val="non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门诊耗材核销</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各类接口</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各类接口</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58</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图书管理系统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图书管理系统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59</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设备管理系统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设备管理系统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60</w:t>
                  </w:r>
                </w:p>
              </w:tc>
              <w:tc>
                <w:tcPr>
                  <w:tcW w:type="dxa" w:w="7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全院级</w:t>
                  </w:r>
                  <w:r>
                    <w:rPr>
                      <w:rFonts w:ascii="仿宋_GB2312" w:hAnsi="仿宋_GB2312" w:cs="仿宋_GB2312" w:eastAsia="仿宋_GB2312"/>
                      <w:sz w:val="24"/>
                    </w:rPr>
                    <w:t xml:space="preserve">PACS </w:t>
                  </w:r>
                  <w:r>
                    <w:rPr>
                      <w:rFonts w:ascii="仿宋_GB2312" w:hAnsi="仿宋_GB2312" w:cs="仿宋_GB2312" w:eastAsia="仿宋_GB2312"/>
                      <w:sz w:val="24"/>
                    </w:rPr>
                    <w:t>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医技叫号系统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61</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PACS</w:t>
                  </w:r>
                  <w:r>
                    <w:rPr>
                      <w:rFonts w:ascii="仿宋_GB2312" w:hAnsi="仿宋_GB2312" w:cs="仿宋_GB2312" w:eastAsia="仿宋_GB2312"/>
                      <w:sz w:val="24"/>
                    </w:rPr>
                    <w:t>临床医生工作站</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62</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放射</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63</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超声</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64</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内镜</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65</w:t>
                  </w:r>
                </w:p>
              </w:tc>
              <w:tc>
                <w:tcPr>
                  <w:tcW w:type="dxa" w:w="714"/>
                  <w:vMerge/>
                  <w:tcBorders>
                    <w:top w:val="none" w:color="000000" w:sz="4"/>
                    <w:left w:val="none" w:color="000000" w:sz="4"/>
                    <w:bottom w:val="single" w:color="000000" w:sz="4"/>
                    <w:right w:val="single" w:color="000000" w:sz="4"/>
                  </w:tcBorders>
                </w:tcP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病理</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66</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医技检查集中预约系统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医技检查集中预约系统</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67</w:t>
                  </w:r>
                </w:p>
              </w:tc>
              <w:tc>
                <w:tcPr>
                  <w:tcW w:type="dxa" w:w="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区域影像系统</w:t>
                  </w:r>
                </w:p>
              </w:tc>
              <w:tc>
                <w:tcPr>
                  <w:tcW w:type="dxa" w:w="1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区域影像系统</w:t>
                  </w:r>
                </w:p>
              </w:tc>
            </w:tr>
          </w:tbl>
          <w:p>
            <w:pPr>
              <w:pStyle w:val="null3"/>
              <w:jc w:val="both"/>
              <w:outlineLvl w:val="1"/>
            </w:pPr>
            <w:r>
              <w:rPr>
                <w:rFonts w:ascii="仿宋_GB2312" w:hAnsi="仿宋_GB2312" w:cs="仿宋_GB2312" w:eastAsia="仿宋_GB2312"/>
                <w:sz w:val="28"/>
                <w:b/>
              </w:rPr>
              <w:t>2.2</w:t>
            </w:r>
            <w:r>
              <w:rPr>
                <w:rFonts w:ascii="仿宋_GB2312" w:hAnsi="仿宋_GB2312" w:cs="仿宋_GB2312" w:eastAsia="仿宋_GB2312"/>
                <w:sz w:val="28"/>
                <w:b/>
              </w:rPr>
              <w:t>服务器数据库核心运维</w:t>
            </w:r>
          </w:p>
          <w:tbl>
            <w:tblPr>
              <w:tblInd w:type="dxa" w:w="135"/>
              <w:tblBorders>
                <w:top w:val="none" w:color="000000" w:sz="4"/>
                <w:left w:val="none" w:color="000000" w:sz="4"/>
                <w:bottom w:val="none" w:color="000000" w:sz="4"/>
                <w:right w:val="none" w:color="000000" w:sz="4"/>
                <w:insideH w:val="none"/>
                <w:insideV w:val="none"/>
              </w:tblBorders>
            </w:tblPr>
            <w:tblGrid>
              <w:gridCol w:w="530"/>
              <w:gridCol w:w="1376"/>
              <w:gridCol w:w="647"/>
            </w:tblGrid>
            <w:tr>
              <w:tc>
                <w:tcPr>
                  <w:tcW w:type="dxa" w:w="5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服务项目</w:t>
                  </w:r>
                </w:p>
              </w:tc>
              <w:tc>
                <w:tcPr>
                  <w:tcW w:type="dxa" w:w="1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服务内容</w:t>
                  </w:r>
                </w:p>
              </w:tc>
              <w:tc>
                <w:tcPr>
                  <w:tcW w:type="dxa" w:w="6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服务器硬件检查服务</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定期检查物理服务器</w:t>
                  </w:r>
                  <w:r>
                    <w:rPr>
                      <w:rFonts w:ascii="仿宋_GB2312" w:hAnsi="仿宋_GB2312" w:cs="仿宋_GB2312" w:eastAsia="仿宋_GB2312"/>
                      <w:sz w:val="24"/>
                    </w:rPr>
                    <w:t>运行状态</w:t>
                  </w:r>
                  <w:r>
                    <w:rPr>
                      <w:rFonts w:ascii="仿宋_GB2312" w:hAnsi="仿宋_GB2312" w:cs="仿宋_GB2312" w:eastAsia="仿宋_GB2312"/>
                      <w:sz w:val="24"/>
                    </w:rPr>
                    <w:t>，如硬件温度、风扇状态、内存状态、电源状态、磁盘状态，确保其正常运行；检查散热情况、接口状态和电源设备，及时报告损坏或即将失效的部件，以防止硬件故障导致的系统问题。</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物理服务器型号：</w:t>
                  </w:r>
                </w:p>
                <w:p>
                  <w:pPr>
                    <w:pStyle w:val="null3"/>
                    <w:jc w:val="left"/>
                  </w:pPr>
                  <w:r>
                    <w:rPr>
                      <w:rFonts w:ascii="仿宋_GB2312" w:hAnsi="仿宋_GB2312" w:cs="仿宋_GB2312" w:eastAsia="仿宋_GB2312"/>
                      <w:sz w:val="24"/>
                    </w:rPr>
                    <w:t>HP DL580 Gen10</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2台）</w:t>
                  </w: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w:t>
                  </w:r>
                  <w:r>
                    <w:rPr>
                      <w:rFonts w:ascii="仿宋_GB2312" w:hAnsi="仿宋_GB2312" w:cs="仿宋_GB2312" w:eastAsia="仿宋_GB2312"/>
                      <w:sz w:val="24"/>
                    </w:rPr>
                    <w:t>inex服务器集群平台巡检</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定期检查虚拟服务器计算资源、存储、网络状态；系统微服务运行状态。</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Vmware虚拟机</w:t>
                  </w:r>
                </w:p>
              </w:tc>
            </w:tr>
            <w:tr>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操作系统检查服务</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对主机进行全系统的离线备份工作，并做好标签，保存到指定的地方。</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操作系统版本：</w:t>
                  </w:r>
                  <w:r>
                    <w:rPr>
                      <w:rFonts w:ascii="仿宋_GB2312" w:hAnsi="仿宋_GB2312" w:cs="仿宋_GB2312" w:eastAsia="仿宋_GB2312"/>
                      <w:sz w:val="24"/>
                    </w:rPr>
                    <w:t>windows Server 2019 Standard（10.0）</w:t>
                  </w: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根据应用的需求和系统软件的需求，对系统软件补丁安装。</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根据平时收集的数据，对系统的</w:t>
                  </w:r>
                  <w:r>
                    <w:rPr>
                      <w:rFonts w:ascii="仿宋_GB2312" w:hAnsi="仿宋_GB2312" w:cs="仿宋_GB2312" w:eastAsia="仿宋_GB2312"/>
                      <w:sz w:val="24"/>
                    </w:rPr>
                    <w:t>CPU</w:t>
                  </w:r>
                  <w:r>
                    <w:rPr>
                      <w:rFonts w:ascii="仿宋_GB2312" w:hAnsi="仿宋_GB2312" w:cs="仿宋_GB2312" w:eastAsia="仿宋_GB2312"/>
                      <w:sz w:val="24"/>
                    </w:rPr>
                    <w:t>、内存、</w:t>
                  </w:r>
                  <w:r>
                    <w:rPr>
                      <w:rFonts w:ascii="仿宋_GB2312" w:hAnsi="仿宋_GB2312" w:cs="仿宋_GB2312" w:eastAsia="仿宋_GB2312"/>
                      <w:sz w:val="24"/>
                    </w:rPr>
                    <w:t>I/O</w:t>
                  </w:r>
                  <w:r>
                    <w:rPr>
                      <w:rFonts w:ascii="仿宋_GB2312" w:hAnsi="仿宋_GB2312" w:cs="仿宋_GB2312" w:eastAsia="仿宋_GB2312"/>
                      <w:sz w:val="24"/>
                    </w:rPr>
                    <w:t>资源的性能进行分析，做出负荷分析报告。</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根据用户的点检情况和主机系统的性能报告对主机系统参数、磁盘空间进行调整，对系统的性能进行优化。</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检查备份策略的完整性，根据应用变动情况进行调整。</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完善操作系统方面的点检操作规程。</w:t>
                  </w:r>
                </w:p>
              </w:tc>
              <w:tc>
                <w:tcPr>
                  <w:tcW w:type="dxa" w:w="647"/>
                  <w:vMerge/>
                  <w:tcBorders>
                    <w:top w:val="none" w:color="000000" w:sz="4"/>
                    <w:left w:val="single" w:color="000000" w:sz="4"/>
                    <w:bottom w:val="single" w:color="000000" w:sz="4"/>
                    <w:right w:val="single" w:color="000000" w:sz="4"/>
                  </w:tcBorders>
                </w:tcP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现场服务</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以收集</w:t>
                  </w:r>
                  <w:r>
                    <w:rPr>
                      <w:rFonts w:ascii="仿宋_GB2312" w:hAnsi="仿宋_GB2312" w:cs="仿宋_GB2312" w:eastAsia="仿宋_GB2312"/>
                      <w:sz w:val="24"/>
                    </w:rPr>
                    <w:t>数据库</w:t>
                  </w:r>
                  <w:r>
                    <w:rPr>
                      <w:rFonts w:ascii="仿宋_GB2312" w:hAnsi="仿宋_GB2312" w:cs="仿宋_GB2312" w:eastAsia="仿宋_GB2312"/>
                      <w:sz w:val="24"/>
                    </w:rPr>
                    <w:t>系统当前运行状况为目的进行的定期巡检，如提供</w:t>
                  </w:r>
                  <w:r>
                    <w:rPr>
                      <w:rFonts w:ascii="仿宋_GB2312" w:hAnsi="仿宋_GB2312" w:cs="仿宋_GB2312" w:eastAsia="仿宋_GB2312"/>
                      <w:sz w:val="24"/>
                    </w:rPr>
                    <w:t>数据库</w:t>
                  </w:r>
                  <w:r>
                    <w:rPr>
                      <w:rFonts w:ascii="仿宋_GB2312" w:hAnsi="仿宋_GB2312" w:cs="仿宋_GB2312" w:eastAsia="仿宋_GB2312"/>
                      <w:sz w:val="24"/>
                    </w:rPr>
                    <w:t>运行状况、安全状况的例行检查、监控、分析和统计。根据</w:t>
                  </w:r>
                  <w:r>
                    <w:rPr>
                      <w:rFonts w:ascii="仿宋_GB2312" w:hAnsi="仿宋_GB2312" w:cs="仿宋_GB2312" w:eastAsia="仿宋_GB2312"/>
                      <w:sz w:val="24"/>
                    </w:rPr>
                    <w:t>数据库</w:t>
                  </w:r>
                  <w:r>
                    <w:rPr>
                      <w:rFonts w:ascii="仿宋_GB2312" w:hAnsi="仿宋_GB2312" w:cs="仿宋_GB2312" w:eastAsia="仿宋_GB2312"/>
                      <w:sz w:val="24"/>
                    </w:rPr>
                    <w:t>运行的实际情况优化设置并提出建议，以确保</w:t>
                  </w:r>
                  <w:r>
                    <w:rPr>
                      <w:rFonts w:ascii="仿宋_GB2312" w:hAnsi="仿宋_GB2312" w:cs="仿宋_GB2312" w:eastAsia="仿宋_GB2312"/>
                      <w:sz w:val="24"/>
                    </w:rPr>
                    <w:t>数据库</w:t>
                  </w:r>
                  <w:r>
                    <w:rPr>
                      <w:rFonts w:ascii="仿宋_GB2312" w:hAnsi="仿宋_GB2312" w:cs="仿宋_GB2312" w:eastAsia="仿宋_GB2312"/>
                      <w:sz w:val="24"/>
                    </w:rPr>
                    <w:t>正常高效安全地运行，</w:t>
                  </w:r>
                  <w:r>
                    <w:rPr>
                      <w:rFonts w:ascii="仿宋_GB2312" w:hAnsi="仿宋_GB2312" w:cs="仿宋_GB2312" w:eastAsia="仿宋_GB2312"/>
                      <w:sz w:val="24"/>
                    </w:rPr>
                    <w:t>同时</w:t>
                  </w:r>
                  <w:r>
                    <w:rPr>
                      <w:rFonts w:ascii="仿宋_GB2312" w:hAnsi="仿宋_GB2312" w:cs="仿宋_GB2312" w:eastAsia="仿宋_GB2312"/>
                      <w:sz w:val="24"/>
                    </w:rPr>
                    <w:t>确保及时地掌握</w:t>
                  </w:r>
                  <w:r>
                    <w:rPr>
                      <w:rFonts w:ascii="仿宋_GB2312" w:hAnsi="仿宋_GB2312" w:cs="仿宋_GB2312" w:eastAsia="仿宋_GB2312"/>
                      <w:sz w:val="24"/>
                    </w:rPr>
                    <w:t>数据库</w:t>
                  </w:r>
                  <w:r>
                    <w:rPr>
                      <w:rFonts w:ascii="仿宋_GB2312" w:hAnsi="仿宋_GB2312" w:cs="仿宋_GB2312" w:eastAsia="仿宋_GB2312"/>
                      <w:sz w:val="24"/>
                    </w:rPr>
                    <w:t>当前运行状态，并整理信息，结合分析，汇总成巡检报告提交用户</w:t>
                  </w:r>
                  <w:r>
                    <w:rPr>
                      <w:rFonts w:ascii="仿宋_GB2312" w:hAnsi="仿宋_GB2312" w:cs="仿宋_GB2312" w:eastAsia="仿宋_GB2312"/>
                      <w:sz w:val="24"/>
                    </w:rPr>
                    <w:t>。</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紧急服务</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及时响应和受理用户关于服务器、存储、</w:t>
                  </w:r>
                  <w:r>
                    <w:rPr>
                      <w:rFonts w:ascii="仿宋_GB2312" w:hAnsi="仿宋_GB2312" w:cs="仿宋_GB2312" w:eastAsia="仿宋_GB2312"/>
                      <w:sz w:val="24"/>
                    </w:rPr>
                    <w:t>数据库</w:t>
                  </w:r>
                  <w:r>
                    <w:rPr>
                      <w:rFonts w:ascii="仿宋_GB2312" w:hAnsi="仿宋_GB2312" w:cs="仿宋_GB2312" w:eastAsia="仿宋_GB2312"/>
                      <w:sz w:val="24"/>
                    </w:rPr>
                    <w:t>故障的报修，就故障原因作出诊断，如为系统故障则排除故障</w:t>
                  </w:r>
                  <w:r>
                    <w:rPr>
                      <w:rFonts w:ascii="仿宋_GB2312" w:hAnsi="仿宋_GB2312" w:cs="仿宋_GB2312" w:eastAsia="仿宋_GB2312"/>
                      <w:sz w:val="24"/>
                    </w:rPr>
                    <w:t>。</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系统优化及数据</w:t>
                  </w:r>
                </w:p>
                <w:p>
                  <w:pPr>
                    <w:pStyle w:val="null3"/>
                    <w:jc w:val="center"/>
                  </w:pPr>
                  <w:r>
                    <w:rPr>
                      <w:rFonts w:ascii="仿宋_GB2312" w:hAnsi="仿宋_GB2312" w:cs="仿宋_GB2312" w:eastAsia="仿宋_GB2312"/>
                      <w:sz w:val="24"/>
                    </w:rPr>
                    <w:t>库服务</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根据应用的需求和系统软件的需求，对系统软件补丁安装</w:t>
                  </w:r>
                </w:p>
              </w:tc>
              <w:tc>
                <w:tcPr>
                  <w:tcW w:type="dxa" w:w="64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数据库版本</w:t>
                  </w:r>
                  <w:r>
                    <w:rPr>
                      <w:rFonts w:ascii="仿宋_GB2312" w:hAnsi="仿宋_GB2312" w:cs="仿宋_GB2312" w:eastAsia="仿宋_GB2312"/>
                      <w:sz w:val="24"/>
                    </w:rPr>
                    <w:t>:</w:t>
                  </w:r>
                  <w:r>
                    <w:br/>
                  </w:r>
                  <w:r>
                    <w:rPr>
                      <w:rFonts w:ascii="仿宋_GB2312" w:hAnsi="仿宋_GB2312" w:cs="仿宋_GB2312" w:eastAsia="仿宋_GB2312"/>
                      <w:sz w:val="24"/>
                    </w:rPr>
                    <w:t>Microsoft SQL</w:t>
                  </w:r>
                </w:p>
                <w:p>
                  <w:pPr>
                    <w:pStyle w:val="null3"/>
                    <w:jc w:val="left"/>
                  </w:pPr>
                  <w:r>
                    <w:rPr>
                      <w:rFonts w:ascii="仿宋_GB2312" w:hAnsi="仿宋_GB2312" w:cs="仿宋_GB2312" w:eastAsia="仿宋_GB2312"/>
                      <w:sz w:val="24"/>
                    </w:rPr>
                    <w:t>Server 2019</w:t>
                  </w: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根据平时收集的数据，对系统的</w:t>
                  </w:r>
                  <w:r>
                    <w:rPr>
                      <w:rFonts w:ascii="仿宋_GB2312" w:hAnsi="仿宋_GB2312" w:cs="仿宋_GB2312" w:eastAsia="仿宋_GB2312"/>
                      <w:sz w:val="24"/>
                    </w:rPr>
                    <w:t>CPU</w:t>
                  </w:r>
                  <w:r>
                    <w:rPr>
                      <w:rFonts w:ascii="仿宋_GB2312" w:hAnsi="仿宋_GB2312" w:cs="仿宋_GB2312" w:eastAsia="仿宋_GB2312"/>
                      <w:sz w:val="24"/>
                    </w:rPr>
                    <w:t>、内存、</w:t>
                  </w:r>
                  <w:r>
                    <w:rPr>
                      <w:rFonts w:ascii="仿宋_GB2312" w:hAnsi="仿宋_GB2312" w:cs="仿宋_GB2312" w:eastAsia="仿宋_GB2312"/>
                      <w:sz w:val="24"/>
                    </w:rPr>
                    <w:t>I/O</w:t>
                  </w:r>
                  <w:r>
                    <w:rPr>
                      <w:rFonts w:ascii="仿宋_GB2312" w:hAnsi="仿宋_GB2312" w:cs="仿宋_GB2312" w:eastAsia="仿宋_GB2312"/>
                      <w:sz w:val="24"/>
                    </w:rPr>
                    <w:t>资源的性能进行分析，做出负荷分析报告。</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根据用户的点检情况和主机系统的性能报告对主机系统参数、磁盘空间进行调整，对系统的性能进行优化。</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检查备份策略的完整性，根据应用变动情况进行调整。</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定期检查配置情况，进行高可用性模拟切换测试。</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进行数据库碎片整理、数据库表空间调整。</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针对应用软件特点对应用数据库定期优化和性能调整。</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数据库系统安全更新设置。</w:t>
                  </w:r>
                </w:p>
                <w:p>
                  <w:pPr>
                    <w:pStyle w:val="null3"/>
                    <w:jc w:val="both"/>
                  </w:pPr>
                  <w:r>
                    <w:rPr>
                      <w:rFonts w:ascii="仿宋_GB2312" w:hAnsi="仿宋_GB2312" w:cs="仿宋_GB2312" w:eastAsia="仿宋_GB2312"/>
                      <w:sz w:val="24"/>
                    </w:rPr>
                    <w:t>数据库访问权限控制。</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检查数据库备份程序的完整性，根据应用变动情况进行调整。</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完善数据库方面的点检操作规程。</w:t>
                  </w:r>
                </w:p>
              </w:tc>
              <w:tc>
                <w:tcPr>
                  <w:tcW w:type="dxa" w:w="647"/>
                  <w:vMerge/>
                  <w:tcBorders>
                    <w:top w:val="none" w:color="000000" w:sz="4"/>
                    <w:left w:val="single" w:color="000000" w:sz="4"/>
                    <w:bottom w:val="single" w:color="000000" w:sz="4"/>
                    <w:right w:val="single" w:color="000000" w:sz="4"/>
                  </w:tcBorders>
                </w:tc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对访问数据库的方式、方法提供专业水准的建议。</w:t>
                  </w:r>
                </w:p>
              </w:tc>
              <w:tc>
                <w:tcPr>
                  <w:tcW w:type="dxa" w:w="647"/>
                  <w:vMerge/>
                  <w:tcBorders>
                    <w:top w:val="none" w:color="000000" w:sz="4"/>
                    <w:left w:val="single" w:color="000000" w:sz="4"/>
                    <w:bottom w:val="single" w:color="000000" w:sz="4"/>
                    <w:right w:val="single" w:color="000000" w:sz="4"/>
                  </w:tcBorders>
                </w:tcPr>
                <w:p/>
              </w:tc>
            </w:tr>
            <w:tr>
              <w:tc>
                <w:tcPr>
                  <w:tcW w:type="dxa" w:w="5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其他系统软件运维</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对服务范围内分析补丁的可用性及分享。</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对服务范围内制定升级计划及应急回退计划。</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对服务范围内协助做好各项系统备份准备。</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对服务范围内测试系统软件，保证系统软件的可用性。</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对服务范围内协助测试应用软件，检测升级的有效性。</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对服务范围内所有系统软件，负责软件产品的安装和基本配置。</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vMerge/>
                  <w:tcBorders>
                    <w:top w:val="none" w:color="000000" w:sz="4"/>
                    <w:left w:val="single" w:color="000000" w:sz="4"/>
                    <w:bottom w:val="single" w:color="000000" w:sz="4"/>
                    <w:right w:val="single" w:color="000000" w:sz="4"/>
                  </w:tcBorders>
                </w:tcP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对服务范围内的所有系统软件，负责软件产品的基本日常维护和使用管理。</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问题管理</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对遇到的问题进行汇总和发布</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方案咨询服务</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针对应用对现有系统的不足提出建议方案，提供参考。</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巡检服务</w:t>
                  </w:r>
                </w:p>
              </w:tc>
              <w:tc>
                <w:tcPr>
                  <w:tcW w:type="dxa" w:w="1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提供专业技术人员定期对用户主机及数据库系统进行上门巡检</w:t>
                  </w:r>
                  <w:r>
                    <w:rPr>
                      <w:rFonts w:ascii="仿宋_GB2312" w:hAnsi="仿宋_GB2312" w:cs="仿宋_GB2312" w:eastAsia="仿宋_GB2312"/>
                      <w:sz w:val="24"/>
                    </w:rPr>
                    <w:t>（一年</w:t>
                  </w:r>
                  <w:r>
                    <w:rPr>
                      <w:rFonts w:ascii="仿宋_GB2312" w:hAnsi="仿宋_GB2312" w:cs="仿宋_GB2312" w:eastAsia="仿宋_GB2312"/>
                      <w:sz w:val="24"/>
                    </w:rPr>
                    <w:t>4次巡检服务）</w:t>
                  </w:r>
                  <w:r>
                    <w:rPr>
                      <w:rFonts w:ascii="仿宋_GB2312" w:hAnsi="仿宋_GB2312" w:cs="仿宋_GB2312" w:eastAsia="仿宋_GB2312"/>
                      <w:sz w:val="24"/>
                    </w:rPr>
                    <w:t>，了解设备和系统运行状态，解决现有和可能发生的各种隐患。</w:t>
                  </w:r>
                </w:p>
              </w:tc>
              <w:tc>
                <w:tcPr>
                  <w:tcW w:type="dxa" w:w="6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1"/>
            </w:pPr>
            <w:r>
              <w:rPr>
                <w:rFonts w:ascii="仿宋_GB2312" w:hAnsi="仿宋_GB2312" w:cs="仿宋_GB2312" w:eastAsia="仿宋_GB2312"/>
                <w:sz w:val="28"/>
                <w:b/>
              </w:rPr>
              <w:t>2.3</w:t>
            </w:r>
            <w:r>
              <w:rPr>
                <w:rFonts w:ascii="仿宋_GB2312" w:hAnsi="仿宋_GB2312" w:cs="仿宋_GB2312" w:eastAsia="仿宋_GB2312"/>
                <w:sz w:val="28"/>
                <w:b/>
              </w:rPr>
              <w:t>软件服务范围</w:t>
            </w:r>
          </w:p>
          <w:p>
            <w:pPr>
              <w:pStyle w:val="null3"/>
              <w:ind w:firstLine="560"/>
              <w:jc w:val="both"/>
            </w:pPr>
            <w:r>
              <w:rPr>
                <w:rFonts w:ascii="仿宋_GB2312" w:hAnsi="仿宋_GB2312" w:cs="仿宋_GB2312" w:eastAsia="仿宋_GB2312"/>
                <w:sz w:val="28"/>
              </w:rPr>
              <w:t>服务期内为医院提供服务清单内系统的维护支持服务，保障医院信息系统的稳定运行。服务内容包括客户端安装、配置、系统运行监控、补丁收集及维护、故障解决、系统优化、应急处理、服务器应用巡检、数据库性能的维护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日常维护：包含改正性维护和完善性维护等。改正性维护即弥补系统本身漏洞和修复其不完善的地方，如在定期的检测、运行HIS的过程中发现由于系统使用过程中而出现的报错、异常数据处理、在用统计报表不准确等问题。完善性维护即在软件使用过程中，为满足用户提出的多种需求，如增加某些功能或修改已有的功能和新增统计报表等进行的维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2）软件升级：服务方在服务清单的信息系统服务基础上，在功能模块允许范围内，服务方根据医院的合理要求进行软件修改，并提供软件升级程序及补丁下载服务等。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3）系统改造：提供院方信息系统流程变更咨询，业务调整的可行性改造方案。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4）接口改造：按照上级部门文件、通知或者医院要求，按照规范实现在本软件服务清单范围内约定的各类接口的升级改造，确保满足医院正常的业务需求。</w:t>
            </w:r>
          </w:p>
          <w:p>
            <w:pPr>
              <w:pStyle w:val="null3"/>
              <w:spacing w:before="165"/>
              <w:jc w:val="both"/>
              <w:outlineLvl w:val="1"/>
            </w:pPr>
            <w:r>
              <w:rPr>
                <w:rFonts w:ascii="仿宋_GB2312" w:hAnsi="仿宋_GB2312" w:cs="仿宋_GB2312" w:eastAsia="仿宋_GB2312"/>
                <w:sz w:val="28"/>
                <w:b/>
              </w:rPr>
              <w:t xml:space="preserve">2.4 </w:t>
            </w:r>
            <w:r>
              <w:rPr>
                <w:rFonts w:ascii="仿宋_GB2312" w:hAnsi="仿宋_GB2312" w:cs="仿宋_GB2312" w:eastAsia="仿宋_GB2312"/>
                <w:sz w:val="28"/>
                <w:b/>
              </w:rPr>
              <w:t>THIS服务器数据库核运维服务要求</w:t>
            </w:r>
          </w:p>
          <w:p>
            <w:pPr>
              <w:pStyle w:val="null3"/>
              <w:ind w:firstLine="565"/>
              <w:jc w:val="both"/>
            </w:pPr>
            <w:r>
              <w:rPr>
                <w:rFonts w:ascii="仿宋_GB2312" w:hAnsi="仿宋_GB2312" w:cs="仿宋_GB2312" w:eastAsia="仿宋_GB2312"/>
                <w:sz w:val="28"/>
              </w:rPr>
              <w:t>在维保期内应提供</w:t>
            </w:r>
            <w:r>
              <w:rPr>
                <w:rFonts w:ascii="仿宋_GB2312" w:hAnsi="仿宋_GB2312" w:cs="仿宋_GB2312" w:eastAsia="仿宋_GB2312"/>
                <w:sz w:val="28"/>
              </w:rPr>
              <w:t>7×24小时的应急响应服务。有完善的售后服务体系和专业的服务团队。提供电话、传真、互联网、E-MAIL和现场等方式的技术支持手段。电话（传真）支持应提供免费中文技术支持服务，服务请求的响应时间应少于1小时；能够在技术支持网站上免费查询、下载相关技术资料、提交问题并获得支持；E-MAIL需于次日回复。</w:t>
            </w:r>
          </w:p>
          <w:p>
            <w:pPr>
              <w:pStyle w:val="null3"/>
              <w:ind w:firstLine="565"/>
              <w:jc w:val="both"/>
            </w:pPr>
            <w:r>
              <w:rPr>
                <w:rFonts w:ascii="仿宋_GB2312" w:hAnsi="仿宋_GB2312" w:cs="仿宋_GB2312" w:eastAsia="仿宋_GB2312"/>
                <w:sz w:val="28"/>
              </w:rPr>
              <w:t>在解决故障时，应保护好数据，做好故障恢复的方案，保证恢复到故障点前的业务状态。现场支持服务依故障的关键、和严重程度分别要求为：</w:t>
            </w:r>
          </w:p>
          <w:tbl>
            <w:tblPr>
              <w:tblBorders>
                <w:top w:val="none" w:color="000000" w:sz="4"/>
                <w:left w:val="none" w:color="000000" w:sz="4"/>
                <w:bottom w:val="none" w:color="000000" w:sz="4"/>
                <w:right w:val="none" w:color="000000" w:sz="4"/>
                <w:insideH w:val="none"/>
                <w:insideV w:val="none"/>
              </w:tblBorders>
            </w:tblPr>
            <w:tblGrid>
              <w:gridCol w:w="1429"/>
              <w:gridCol w:w="534"/>
              <w:gridCol w:w="584"/>
            </w:tblGrid>
            <w:tr>
              <w:tc>
                <w:tcPr>
                  <w:tcW w:type="dxa" w:w="1429"/>
                  <w:tcBorders>
                    <w:top w:val="single" w:color="000000" w:sz="4"/>
                    <w:left w:val="singl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严重程度</w:t>
                  </w:r>
                </w:p>
              </w:tc>
              <w:tc>
                <w:tcPr>
                  <w:tcW w:type="dxa" w:w="534"/>
                  <w:tcBorders>
                    <w:top w:val="sing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响应时间</w:t>
                  </w:r>
                </w:p>
              </w:tc>
              <w:tc>
                <w:tcPr>
                  <w:tcW w:type="dxa" w:w="584"/>
                  <w:tcBorders>
                    <w:top w:val="single" w:color="000000" w:sz="4"/>
                    <w:left w:val="non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故障解决时间</w:t>
                  </w:r>
                </w:p>
              </w:tc>
            </w:tr>
            <w:tr>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系统瘫痪，业务系统不能运转的</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1小时</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4小时</w:t>
                  </w:r>
                </w:p>
              </w:tc>
            </w:tr>
            <w:tr>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系统部分出现故障，业务系统仍能运转</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2小时</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8小时</w:t>
                  </w:r>
                </w:p>
              </w:tc>
            </w:tr>
            <w:tr>
              <w:tc>
                <w:tcPr>
                  <w:tcW w:type="dxa" w:w="14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初步诊断为系统问题，只造成业务系统性能下降</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次日</w:t>
                  </w: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2天</w:t>
                  </w:r>
                </w:p>
              </w:tc>
            </w:tr>
          </w:tbl>
          <w:p>
            <w:pPr>
              <w:pStyle w:val="null3"/>
              <w:ind w:firstLine="565"/>
              <w:jc w:val="both"/>
            </w:pPr>
            <w:r>
              <w:rPr>
                <w:rFonts w:ascii="仿宋_GB2312" w:hAnsi="仿宋_GB2312" w:cs="仿宋_GB2312" w:eastAsia="仿宋_GB2312"/>
                <w:sz w:val="28"/>
              </w:rPr>
              <w:t>对于</w:t>
            </w:r>
            <w:r>
              <w:rPr>
                <w:rFonts w:ascii="仿宋_GB2312" w:hAnsi="仿宋_GB2312" w:cs="仿宋_GB2312" w:eastAsia="仿宋_GB2312"/>
                <w:sz w:val="28"/>
              </w:rPr>
              <w:t>“系统瘫痪，业务系统不能运转的”的故障级别，如果不能于规定时间内解决故障，中标方应在8小时内提出应急方案，确保业务系统的运行。故障解决后24小时内，应提交故障处理报告，说明故障种类、故障原因、故障解决中使用的方法及故障损失等情况。</w:t>
            </w:r>
          </w:p>
          <w:p>
            <w:pPr>
              <w:pStyle w:val="null3"/>
              <w:spacing w:before="165"/>
              <w:jc w:val="both"/>
              <w:outlineLvl w:val="1"/>
            </w:pPr>
            <w:r>
              <w:rPr>
                <w:rFonts w:ascii="仿宋_GB2312" w:hAnsi="仿宋_GB2312" w:cs="仿宋_GB2312" w:eastAsia="仿宋_GB2312"/>
                <w:sz w:val="28"/>
                <w:b/>
              </w:rPr>
              <w:t xml:space="preserve">2.5 </w:t>
            </w:r>
            <w:r>
              <w:rPr>
                <w:rFonts w:ascii="仿宋_GB2312" w:hAnsi="仿宋_GB2312" w:cs="仿宋_GB2312" w:eastAsia="仿宋_GB2312"/>
                <w:sz w:val="28"/>
                <w:b/>
              </w:rPr>
              <w:t>服务要求</w:t>
            </w:r>
          </w:p>
          <w:p>
            <w:pPr>
              <w:pStyle w:val="null3"/>
              <w:ind w:firstLine="560"/>
              <w:jc w:val="both"/>
            </w:pPr>
            <w:r>
              <w:rPr>
                <w:rFonts w:ascii="仿宋_GB2312" w:hAnsi="仿宋_GB2312" w:cs="仿宋_GB2312" w:eastAsia="仿宋_GB2312"/>
                <w:sz w:val="28"/>
              </w:rPr>
              <w:t>保障医院信息化建设与应用高效进行，由专业团队提供专业的技术服务与支持，提供清晰明确服务内容与规范的服务体系。</w:t>
            </w:r>
          </w:p>
          <w:p>
            <w:pPr>
              <w:pStyle w:val="null3"/>
              <w:ind w:firstLine="560"/>
              <w:jc w:val="both"/>
            </w:pPr>
            <w:r>
              <w:rPr>
                <w:rFonts w:ascii="仿宋_GB2312" w:hAnsi="仿宋_GB2312" w:cs="仿宋_GB2312" w:eastAsia="仿宋_GB2312"/>
                <w:sz w:val="28"/>
              </w:rPr>
              <w:t>1、现场支持服务：要求服务商提供不少于1名驻场工程师，现场提供服务，并提供1名备用工程师。并根据院方要求认真、填写工作记录单。如服务商需更换人员，需提前告知采购人并取得同意。若遇到驻场人员无法解决的疑难问题，服务商需提供更高级别的人员到场予以处理。</w:t>
            </w:r>
          </w:p>
          <w:p>
            <w:pPr>
              <w:pStyle w:val="null3"/>
              <w:numPr>
                <w:ilvl w:val="0"/>
                <w:numId w:val="1"/>
              </w:numPr>
            </w:pPr>
            <w:r>
              <w:rPr>
                <w:rFonts w:ascii="仿宋_GB2312" w:hAnsi="仿宋_GB2312" w:cs="仿宋_GB2312" w:eastAsia="仿宋_GB2312"/>
                <w:sz w:val="28"/>
              </w:rPr>
              <w:t>软件补丁服务：服务商在维护及软件巡检过程中发现软件存在故障隐患时，经用院方同意后，服务商提供并安装所必须的软件补丁程序，且要保证提供的软件补丁的合法性。如果任何第三方向院方提起侵权索赔</w:t>
            </w:r>
            <w:r>
              <w:rPr>
                <w:rFonts w:ascii="仿宋_GB2312" w:hAnsi="仿宋_GB2312" w:cs="仿宋_GB2312" w:eastAsia="仿宋_GB2312"/>
                <w:sz w:val="28"/>
              </w:rPr>
              <w:t>,服务商应负责与之进行交涉,并承担由此引起的一切责任。</w:t>
            </w:r>
          </w:p>
          <w:p>
            <w:pPr>
              <w:pStyle w:val="null3"/>
              <w:numPr>
                <w:ilvl w:val="0"/>
                <w:numId w:val="1"/>
              </w:numPr>
              <w:jc w:val="both"/>
            </w:pPr>
            <w:r>
              <w:rPr>
                <w:rFonts w:ascii="仿宋_GB2312" w:hAnsi="仿宋_GB2312" w:cs="仿宋_GB2312" w:eastAsia="仿宋_GB2312"/>
                <w:sz w:val="28"/>
              </w:rPr>
              <w:t>技术资料服务：服务商为用户提供软件正常运行的必要技术资料</w:t>
            </w:r>
            <w:r>
              <w:rPr>
                <w:rFonts w:ascii="仿宋_GB2312" w:hAnsi="仿宋_GB2312" w:cs="仿宋_GB2312" w:eastAsia="仿宋_GB2312"/>
                <w:sz w:val="28"/>
              </w:rPr>
              <w:t>(涉及技术和商业机密的除外)，其中包括有关产品知识、操作手册、软件运行维护经验、技术文档等资料。常用资料可提供纸质文档或电子文档。</w:t>
            </w:r>
          </w:p>
          <w:p>
            <w:pPr>
              <w:pStyle w:val="null3"/>
              <w:ind w:firstLine="560"/>
              <w:jc w:val="both"/>
            </w:pPr>
            <w:r>
              <w:rPr>
                <w:rFonts w:ascii="仿宋_GB2312" w:hAnsi="仿宋_GB2312" w:cs="仿宋_GB2312" w:eastAsia="仿宋_GB2312"/>
                <w:sz w:val="28"/>
              </w:rPr>
              <w:t>4</w:t>
            </w:r>
            <w:r>
              <w:rPr>
                <w:rFonts w:ascii="仿宋_GB2312" w:hAnsi="仿宋_GB2312" w:cs="仿宋_GB2312" w:eastAsia="仿宋_GB2312"/>
                <w:sz w:val="28"/>
              </w:rPr>
              <w:t>、培训服务：在服务期内，服务商定期提供汇总、整理近阶段软件故障的问题分析、解决方案等技术资料，提交给院方，并为院方的软件维护人员进行不定期的日常维护培训（包括故障发生的原因、处理过程、以及类似故障的预防和处理经验）。</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辅助故障定位服务：当故障涉及多方软件，院方无法进行准确故障定位情况下，服务商需提供相应技术支持，辅助院方进行准确的故障定位。实现手段包括但不限于：电话技术支持服务，远程支持、现场支持服务。</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保密规定：服务商不得泄露院方的保密信息，不得做损害院方声誉和有损院方形象的行为，驻场服务人员在获得投标人授权后，签订《汉中市中心医院第三方人员网络信息安全保密承诺书》，该约定在本合同终止后仍然继续有效，且不受合同解除、终止或无效的影响。</w:t>
            </w:r>
          </w:p>
          <w:p>
            <w:pPr>
              <w:pStyle w:val="null3"/>
              <w:ind w:firstLine="560"/>
              <w:jc w:val="both"/>
            </w:pPr>
            <w:r>
              <w:rPr>
                <w:rFonts w:ascii="仿宋_GB2312" w:hAnsi="仿宋_GB2312" w:cs="仿宋_GB2312" w:eastAsia="仿宋_GB2312"/>
                <w:sz w:val="28"/>
              </w:rPr>
              <w:t>7</w:t>
            </w:r>
            <w:r>
              <w:rPr>
                <w:rFonts w:ascii="仿宋_GB2312" w:hAnsi="仿宋_GB2312" w:cs="仿宋_GB2312" w:eastAsia="仿宋_GB2312"/>
                <w:sz w:val="28"/>
              </w:rPr>
              <w:t>、为建立医院网络与信息安全运行应急工作机制，检验医院信息安全综合应急预案和业务技术专项应急预案的有效性，保证各项应急指挥调度工作迅速、高效、有序地进行，满足突发情况下网络与信息系统运行保障和故障恢复的需要，确保信息系统安全畅通。</w:t>
            </w:r>
          </w:p>
          <w:p>
            <w:pPr>
              <w:pStyle w:val="null3"/>
              <w:ind w:firstLine="560"/>
              <w:jc w:val="both"/>
            </w:pPr>
            <w:r>
              <w:rPr>
                <w:rFonts w:ascii="仿宋_GB2312" w:hAnsi="仿宋_GB2312" w:cs="仿宋_GB2312" w:eastAsia="仿宋_GB2312"/>
                <w:sz w:val="28"/>
              </w:rPr>
              <w:t>8</w:t>
            </w:r>
            <w:r>
              <w:rPr>
                <w:rFonts w:ascii="仿宋_GB2312" w:hAnsi="仿宋_GB2312" w:cs="仿宋_GB2312" w:eastAsia="仿宋_GB2312"/>
                <w:sz w:val="28"/>
              </w:rPr>
              <w:t>、投标人不得以公司考核或其他事宜为由，随意进行人员调整。人员更换须征得医院业务主管部门同意，并提前一周告知。</w:t>
            </w:r>
          </w:p>
          <w:p>
            <w:pPr>
              <w:pStyle w:val="null3"/>
              <w:spacing w:before="165" w:after="165"/>
              <w:jc w:val="both"/>
              <w:outlineLvl w:val="0"/>
            </w:pPr>
            <w:r>
              <w:rPr>
                <w:rFonts w:ascii="仿宋_GB2312" w:hAnsi="仿宋_GB2312" w:cs="仿宋_GB2312" w:eastAsia="仿宋_GB2312"/>
                <w:sz w:val="30"/>
                <w:b/>
              </w:rPr>
              <w:t>3</w:t>
            </w:r>
            <w:r>
              <w:rPr>
                <w:rFonts w:ascii="仿宋_GB2312" w:hAnsi="仿宋_GB2312" w:cs="仿宋_GB2312" w:eastAsia="仿宋_GB2312"/>
                <w:sz w:val="30"/>
                <w:b/>
              </w:rPr>
              <w:t>服务具体内容及故障分级响应</w:t>
            </w:r>
          </w:p>
          <w:p>
            <w:pPr>
              <w:pStyle w:val="null3"/>
              <w:spacing w:before="165"/>
              <w:jc w:val="both"/>
              <w:outlineLvl w:val="1"/>
            </w:pPr>
            <w:r>
              <w:rPr>
                <w:rFonts w:ascii="仿宋_GB2312" w:hAnsi="仿宋_GB2312" w:cs="仿宋_GB2312" w:eastAsia="仿宋_GB2312"/>
                <w:sz w:val="28"/>
                <w:b/>
              </w:rPr>
              <w:t xml:space="preserve">3.1 </w:t>
            </w:r>
            <w:r>
              <w:rPr>
                <w:rFonts w:ascii="仿宋_GB2312" w:hAnsi="仿宋_GB2312" w:cs="仿宋_GB2312" w:eastAsia="仿宋_GB2312"/>
                <w:sz w:val="28"/>
                <w:b/>
              </w:rPr>
              <w:t>服务具体内容</w:t>
            </w:r>
          </w:p>
          <w:p>
            <w:pPr>
              <w:pStyle w:val="null3"/>
              <w:ind w:firstLine="560"/>
              <w:jc w:val="both"/>
            </w:pPr>
            <w:r>
              <w:rPr>
                <w:rFonts w:ascii="仿宋_GB2312" w:hAnsi="仿宋_GB2312" w:cs="仿宋_GB2312" w:eastAsia="仿宋_GB2312"/>
                <w:sz w:val="28"/>
              </w:rPr>
              <w:t>1、培训：对院方负责HIS运维的工程师提供维护培训；每月末对本月问题出现最多的HIS使用部门人员进行现场针对性培训。若遇特殊情况，需要临时与HIS或相关内容培训的，服务方须积极配合。每次培训结束，服务方要有培训记录。</w:t>
            </w:r>
          </w:p>
          <w:p>
            <w:pPr>
              <w:pStyle w:val="null3"/>
              <w:ind w:firstLine="560"/>
              <w:jc w:val="both"/>
            </w:pPr>
            <w:r>
              <w:rPr>
                <w:rFonts w:ascii="仿宋_GB2312" w:hAnsi="仿宋_GB2312" w:cs="仿宋_GB2312" w:eastAsia="仿宋_GB2312"/>
                <w:sz w:val="28"/>
              </w:rPr>
              <w:t>2、巡检：每月按照服务范围中的内容进行各科室现场巡检，院方人员进行签字确认。每季度进行一次数据完整性及安全性验证和数据库调整优化，提高访问数据速度。巡检及服务的人员要设专人，若有调整，须经院方人员同意。每次巡检后一周内，服务方要提供正式报告反馈。</w:t>
            </w:r>
          </w:p>
          <w:p>
            <w:pPr>
              <w:pStyle w:val="null3"/>
              <w:ind w:firstLine="560"/>
              <w:jc w:val="both"/>
            </w:pPr>
            <w:r>
              <w:rPr>
                <w:rFonts w:ascii="仿宋_GB2312" w:hAnsi="仿宋_GB2312" w:cs="仿宋_GB2312" w:eastAsia="仿宋_GB2312"/>
                <w:sz w:val="28"/>
              </w:rPr>
              <w:t>3、接口：处理因接口程序错误导致的数据传输异常，对网络不稳定、对码错误、硬件故障或其他原因导致的接口数据传输失败，要全程协助院方找到原因并处理。因第三方软件厂商程序调整或升级，导致原有接口程序的调整，服务商也需要对接口进行修改，直至接口能够正常使用。</w:t>
            </w:r>
          </w:p>
          <w:p>
            <w:pPr>
              <w:pStyle w:val="null3"/>
              <w:ind w:firstLine="560"/>
              <w:jc w:val="both"/>
            </w:pPr>
            <w:r>
              <w:rPr>
                <w:rFonts w:ascii="仿宋_GB2312" w:hAnsi="仿宋_GB2312" w:cs="仿宋_GB2312" w:eastAsia="仿宋_GB2312"/>
                <w:sz w:val="28"/>
              </w:rPr>
              <w:t>4、报表类：按照医院需求管理，严格审批执行，并根据科室需要订制新报表和修改现有报表准确、高效。</w:t>
            </w:r>
          </w:p>
          <w:p>
            <w:pPr>
              <w:pStyle w:val="null3"/>
              <w:ind w:firstLine="560"/>
              <w:jc w:val="both"/>
            </w:pPr>
            <w:r>
              <w:rPr>
                <w:rFonts w:ascii="仿宋_GB2312" w:hAnsi="仿宋_GB2312" w:cs="仿宋_GB2312" w:eastAsia="仿宋_GB2312"/>
                <w:sz w:val="28"/>
              </w:rPr>
              <w:t>根据报表复杂程度分类：关联</w:t>
            </w:r>
            <w:r>
              <w:rPr>
                <w:rFonts w:ascii="仿宋_GB2312" w:hAnsi="仿宋_GB2312" w:cs="仿宋_GB2312" w:eastAsia="仿宋_GB2312"/>
                <w:sz w:val="28"/>
              </w:rPr>
              <w:t>HIS数据库中1-2个表进行查询的属于简单报表；关联数据库中3-5个表进行查询的属于一般报表；关联数据库中5个以上表进行查询的属于复杂报表。</w:t>
            </w:r>
          </w:p>
          <w:p>
            <w:pPr>
              <w:pStyle w:val="null3"/>
              <w:ind w:firstLine="560"/>
              <w:jc w:val="both"/>
            </w:pPr>
            <w:r>
              <w:rPr>
                <w:rFonts w:ascii="仿宋_GB2312" w:hAnsi="仿宋_GB2312" w:cs="仿宋_GB2312" w:eastAsia="仿宋_GB2312"/>
                <w:sz w:val="28"/>
              </w:rPr>
              <w:t>对于不同类别的报表，要求完成时间如下表所示：</w:t>
            </w:r>
          </w:p>
          <w:tbl>
            <w:tblPr>
              <w:tblBorders>
                <w:top w:val="none" w:color="000000" w:sz="4"/>
                <w:left w:val="none" w:color="000000" w:sz="4"/>
                <w:bottom w:val="none" w:color="000000" w:sz="4"/>
                <w:right w:val="none" w:color="000000" w:sz="4"/>
                <w:insideH w:val="none"/>
                <w:insideV w:val="none"/>
              </w:tblBorders>
            </w:tblPr>
            <w:tblGrid>
              <w:gridCol w:w="1025"/>
              <w:gridCol w:w="699"/>
              <w:gridCol w:w="829"/>
            </w:tblGrid>
            <w:tr>
              <w:tc>
                <w:tcPr>
                  <w:tcW w:type="dxa" w:w="10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需求分类</w:t>
                  </w:r>
                </w:p>
              </w:tc>
              <w:tc>
                <w:tcPr>
                  <w:tcW w:type="dxa" w:w="6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报表分类</w:t>
                  </w:r>
                </w:p>
              </w:tc>
              <w:tc>
                <w:tcPr>
                  <w:tcW w:type="dxa" w:w="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完成时限</w:t>
                  </w:r>
                </w:p>
              </w:tc>
            </w:tr>
            <w:tr>
              <w:tc>
                <w:tcPr>
                  <w:tcW w:type="dxa" w:w="10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新增报表</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简单报表</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1天</w:t>
                  </w:r>
                </w:p>
              </w:tc>
            </w:tr>
            <w:tr>
              <w:tc>
                <w:tcPr>
                  <w:tcW w:type="dxa" w:w="1025"/>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简单报表</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2天</w:t>
                  </w:r>
                </w:p>
              </w:tc>
            </w:tr>
            <w:tr>
              <w:tc>
                <w:tcPr>
                  <w:tcW w:type="dxa" w:w="1025"/>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复杂报表</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5天</w:t>
                  </w:r>
                </w:p>
              </w:tc>
            </w:tr>
            <w:tr>
              <w:tc>
                <w:tcPr>
                  <w:tcW w:type="dxa" w:w="10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优化报表</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简单报表</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1天</w:t>
                  </w:r>
                </w:p>
              </w:tc>
            </w:tr>
            <w:tr>
              <w:tc>
                <w:tcPr>
                  <w:tcW w:type="dxa" w:w="1025"/>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简单报表</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2天</w:t>
                  </w:r>
                </w:p>
              </w:tc>
            </w:tr>
            <w:tr>
              <w:tc>
                <w:tcPr>
                  <w:tcW w:type="dxa" w:w="1025"/>
                  <w:vMerge/>
                  <w:tcBorders>
                    <w:top w:val="none" w:color="000000" w:sz="4"/>
                    <w:left w:val="single" w:color="000000" w:sz="4"/>
                    <w:bottom w:val="single" w:color="000000" w:sz="4"/>
                    <w:right w:val="single" w:color="000000" w:sz="4"/>
                  </w:tcBorders>
                </w:tcP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复杂报表</w:t>
                  </w:r>
                </w:p>
              </w:tc>
              <w:tc>
                <w:tcPr>
                  <w:tcW w:type="dxa" w:w="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3天</w:t>
                  </w:r>
                </w:p>
              </w:tc>
            </w:tr>
          </w:tbl>
          <w:p>
            <w:pPr>
              <w:pStyle w:val="null3"/>
              <w:ind w:firstLine="560"/>
              <w:jc w:val="both"/>
            </w:pPr>
            <w:r>
              <w:rPr>
                <w:rFonts w:ascii="仿宋_GB2312" w:hAnsi="仿宋_GB2312" w:cs="仿宋_GB2312" w:eastAsia="仿宋_GB2312"/>
                <w:sz w:val="28"/>
              </w:rPr>
              <w:t>注：该表</w:t>
            </w:r>
            <w:r>
              <w:rPr>
                <w:rFonts w:ascii="仿宋_GB2312" w:hAnsi="仿宋_GB2312" w:cs="仿宋_GB2312" w:eastAsia="仿宋_GB2312"/>
                <w:sz w:val="28"/>
              </w:rPr>
              <w:t>“天”数均为日历日。</w:t>
            </w:r>
          </w:p>
          <w:p>
            <w:pPr>
              <w:pStyle w:val="null3"/>
              <w:ind w:firstLine="560"/>
              <w:jc w:val="both"/>
            </w:pPr>
            <w:r>
              <w:rPr>
                <w:rFonts w:ascii="仿宋_GB2312" w:hAnsi="仿宋_GB2312" w:cs="仿宋_GB2312" w:eastAsia="仿宋_GB2312"/>
                <w:sz w:val="28"/>
              </w:rPr>
              <w:t>新编制或修改报表要求及时完成且数据准确无误，若由报表数据错误和延误而产生的一切后果由服务商承担，并视其严重程度扣其部分合同金额。</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、协作：协助医疗设备（检验设备、检查设备）进行调试，保证系统完整安全应用。</w:t>
            </w:r>
          </w:p>
          <w:p>
            <w:pPr>
              <w:pStyle w:val="null3"/>
              <w:spacing w:before="165"/>
              <w:jc w:val="both"/>
              <w:outlineLvl w:val="1"/>
            </w:pPr>
            <w:r>
              <w:rPr>
                <w:rFonts w:ascii="仿宋_GB2312" w:hAnsi="仿宋_GB2312" w:cs="仿宋_GB2312" w:eastAsia="仿宋_GB2312"/>
                <w:sz w:val="28"/>
                <w:b/>
              </w:rPr>
              <w:t>3.2</w:t>
            </w:r>
            <w:r>
              <w:rPr>
                <w:rFonts w:ascii="仿宋_GB2312" w:hAnsi="仿宋_GB2312" w:cs="仿宋_GB2312" w:eastAsia="仿宋_GB2312"/>
                <w:sz w:val="28"/>
                <w:b/>
              </w:rPr>
              <w:t>故障分级响应</w:t>
            </w:r>
          </w:p>
          <w:p>
            <w:pPr>
              <w:pStyle w:val="null3"/>
              <w:ind w:firstLine="560"/>
              <w:jc w:val="both"/>
            </w:pPr>
            <w:r>
              <w:rPr>
                <w:rFonts w:ascii="仿宋_GB2312" w:hAnsi="仿宋_GB2312" w:cs="仿宋_GB2312" w:eastAsia="仿宋_GB2312"/>
                <w:sz w:val="28"/>
              </w:rPr>
              <w:t>1、系统一般日常软件问题,如患者出院结算、费用核对等，15分钟内响应，30分钟内解决。如遇复杂问题需给出解决时限并及时解决。</w:t>
            </w:r>
          </w:p>
          <w:p>
            <w:pPr>
              <w:pStyle w:val="null3"/>
              <w:ind w:firstLine="560"/>
              <w:jc w:val="both"/>
            </w:pPr>
            <w:r>
              <w:rPr>
                <w:rFonts w:ascii="仿宋_GB2312" w:hAnsi="仿宋_GB2312" w:cs="仿宋_GB2312" w:eastAsia="仿宋_GB2312"/>
                <w:sz w:val="28"/>
              </w:rPr>
              <w:t>2、主要窗口部门瘫痪，HIS系统不能满足正常需求，5分钟内响应，30分钟内解决。如遇复杂问题需给出解决时限并及时解决。</w:t>
            </w:r>
          </w:p>
          <w:p>
            <w:pPr>
              <w:pStyle w:val="null3"/>
              <w:ind w:firstLine="560"/>
              <w:jc w:val="both"/>
            </w:pPr>
            <w:r>
              <w:rPr>
                <w:rFonts w:ascii="仿宋_GB2312" w:hAnsi="仿宋_GB2312" w:cs="仿宋_GB2312" w:eastAsia="仿宋_GB2312"/>
                <w:sz w:val="28"/>
              </w:rPr>
              <w:t>3、一般错误类故障，如数据核对、查错类，15分钟内响应，1个工作日内解决。如遇复杂问题需给出解决时限并及时解决。</w:t>
            </w:r>
          </w:p>
          <w:p>
            <w:pPr>
              <w:pStyle w:val="null3"/>
              <w:ind w:firstLine="560"/>
              <w:jc w:val="both"/>
            </w:pPr>
            <w:r>
              <w:rPr>
                <w:rFonts w:ascii="仿宋_GB2312" w:hAnsi="仿宋_GB2312" w:cs="仿宋_GB2312" w:eastAsia="仿宋_GB2312"/>
                <w:sz w:val="28"/>
              </w:rPr>
              <w:t>注：以上解决故障时限从接到院方报修起算。</w:t>
            </w:r>
          </w:p>
          <w:p>
            <w:pPr>
              <w:pStyle w:val="null3"/>
              <w:spacing w:before="165"/>
              <w:jc w:val="both"/>
              <w:outlineLvl w:val="1"/>
            </w:pPr>
            <w:r>
              <w:rPr>
                <w:rFonts w:ascii="仿宋_GB2312" w:hAnsi="仿宋_GB2312" w:cs="仿宋_GB2312" w:eastAsia="仿宋_GB2312"/>
                <w:sz w:val="28"/>
                <w:b/>
              </w:rPr>
              <w:t>3.3</w:t>
            </w:r>
            <w:r>
              <w:rPr>
                <w:rFonts w:ascii="仿宋_GB2312" w:hAnsi="仿宋_GB2312" w:cs="仿宋_GB2312" w:eastAsia="仿宋_GB2312"/>
                <w:sz w:val="28"/>
                <w:b/>
              </w:rPr>
              <w:t>服务商要求</w:t>
            </w:r>
          </w:p>
          <w:p>
            <w:pPr>
              <w:pStyle w:val="null3"/>
              <w:ind w:firstLine="560"/>
              <w:jc w:val="both"/>
            </w:pPr>
            <w:r>
              <w:rPr>
                <w:rFonts w:ascii="仿宋_GB2312" w:hAnsi="仿宋_GB2312" w:cs="仿宋_GB2312" w:eastAsia="仿宋_GB2312"/>
                <w:sz w:val="28"/>
              </w:rPr>
              <w:t>1、能够安全可靠地提供约定的服务项目。</w:t>
            </w:r>
          </w:p>
          <w:p>
            <w:pPr>
              <w:pStyle w:val="null3"/>
              <w:ind w:firstLine="560"/>
              <w:jc w:val="both"/>
            </w:pPr>
            <w:r>
              <w:rPr>
                <w:rFonts w:ascii="仿宋_GB2312" w:hAnsi="仿宋_GB2312" w:cs="仿宋_GB2312" w:eastAsia="仿宋_GB2312"/>
                <w:sz w:val="28"/>
              </w:rPr>
              <w:t>2、按时提供相应的文档（如解决方案、培训计划、各类维护巡检记录）。</w:t>
            </w:r>
          </w:p>
          <w:p>
            <w:pPr>
              <w:pStyle w:val="null3"/>
              <w:ind w:firstLine="560"/>
              <w:jc w:val="both"/>
            </w:pPr>
            <w:r>
              <w:rPr>
                <w:rFonts w:ascii="仿宋_GB2312" w:hAnsi="仿宋_GB2312" w:cs="仿宋_GB2312" w:eastAsia="仿宋_GB2312"/>
                <w:sz w:val="28"/>
              </w:rPr>
              <w:t>3、发现院方提供的技术资料、数据及工作条件不符合约定的，须及时通知院方补充、修改或更换。</w:t>
            </w:r>
          </w:p>
          <w:p>
            <w:pPr>
              <w:pStyle w:val="null3"/>
              <w:ind w:firstLine="560"/>
              <w:jc w:val="both"/>
            </w:pPr>
            <w:r>
              <w:rPr>
                <w:rFonts w:ascii="仿宋_GB2312" w:hAnsi="仿宋_GB2312" w:cs="仿宋_GB2312" w:eastAsia="仿宋_GB2312"/>
                <w:sz w:val="28"/>
              </w:rPr>
              <w:t>4、与医院签订《保密协议》，根据工作开展情况，向派驻人员授权参与医院相关系统的维护，履行协议安全管理责任，约束其员工遵守医院保密规定，遵守医院工程师管理相关制度和操作规程、规范。</w:t>
            </w:r>
          </w:p>
          <w:p>
            <w:pPr>
              <w:pStyle w:val="null3"/>
              <w:spacing w:before="165"/>
              <w:jc w:val="both"/>
              <w:outlineLvl w:val="1"/>
            </w:pPr>
            <w:r>
              <w:rPr>
                <w:rFonts w:ascii="仿宋_GB2312" w:hAnsi="仿宋_GB2312" w:cs="仿宋_GB2312" w:eastAsia="仿宋_GB2312"/>
                <w:sz w:val="28"/>
                <w:b/>
              </w:rPr>
              <w:t>3.4</w:t>
            </w:r>
            <w:r>
              <w:rPr>
                <w:rFonts w:ascii="仿宋_GB2312" w:hAnsi="仿宋_GB2312" w:cs="仿宋_GB2312" w:eastAsia="仿宋_GB2312"/>
                <w:sz w:val="28"/>
                <w:b/>
              </w:rPr>
              <w:t>运维问题解决要求</w:t>
            </w:r>
          </w:p>
          <w:p>
            <w:pPr>
              <w:pStyle w:val="null3"/>
              <w:ind w:firstLine="560"/>
              <w:jc w:val="both"/>
            </w:pPr>
            <w:r>
              <w:rPr>
                <w:rFonts w:ascii="仿宋_GB2312" w:hAnsi="仿宋_GB2312" w:cs="仿宋_GB2312" w:eastAsia="仿宋_GB2312"/>
                <w:sz w:val="28"/>
                <w:color w:val="000000"/>
              </w:rPr>
              <w:t>所有运维客户事件解决率不低于</w:t>
            </w:r>
            <w:r>
              <w:rPr>
                <w:rFonts w:ascii="仿宋_GB2312" w:hAnsi="仿宋_GB2312" w:cs="仿宋_GB2312" w:eastAsia="仿宋_GB2312"/>
                <w:sz w:val="28"/>
                <w:color w:val="000000"/>
              </w:rPr>
              <w:t>95%，事件解决及时率不低于90%。具体事件根据不同级别匹配不同的处理要求，明细如下：</w:t>
            </w:r>
          </w:p>
          <w:tbl>
            <w:tblPr>
              <w:tblBorders>
                <w:top w:val="none" w:color="000000" w:sz="4"/>
                <w:left w:val="none" w:color="000000" w:sz="4"/>
                <w:bottom w:val="none" w:color="000000" w:sz="4"/>
                <w:right w:val="none" w:color="000000" w:sz="4"/>
                <w:insideH w:val="none"/>
                <w:insideV w:val="none"/>
              </w:tblBorders>
            </w:tblPr>
            <w:tblGrid>
              <w:gridCol w:w="570"/>
              <w:gridCol w:w="1440"/>
              <w:gridCol w:w="542"/>
            </w:tblGrid>
            <w:tr>
              <w:tc>
                <w:tcPr>
                  <w:tcW w:type="dxa" w:w="57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事件等级</w:t>
                  </w:r>
                </w:p>
              </w:tc>
              <w:tc>
                <w:tcPr>
                  <w:tcW w:type="dxa" w:w="1440"/>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事件等级说明</w:t>
                  </w:r>
                </w:p>
              </w:tc>
              <w:tc>
                <w:tcPr>
                  <w:tcW w:type="dxa" w:w="542"/>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处理要求</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优先级高</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系统整体瘫痪或者关键流程损坏，导致关键业务受到影响</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1个工作日内处理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优先级中</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系统局部功能受限，但系统整体运行无较大影响，整体业务系统影响有限</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3个工作日内处理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优先级低</w:t>
                  </w:r>
                </w:p>
              </w:tc>
              <w:tc>
                <w:tcPr>
                  <w:tcW w:type="dxa" w:w="14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系统出现不常用功能的报障，存在替代方案临时解决，整体业务系统无影响</w:t>
                  </w:r>
                </w:p>
              </w:tc>
              <w:tc>
                <w:tcPr>
                  <w:tcW w:type="dxa" w:w="5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5个工作日内处理</w:t>
                  </w:r>
                </w:p>
              </w:tc>
            </w:tr>
          </w:tbl>
          <w:p>
            <w:pPr>
              <w:pStyle w:val="null3"/>
              <w:ind w:firstLine="480"/>
              <w:jc w:val="both"/>
            </w:pPr>
            <w:r>
              <w:rPr>
                <w:rFonts w:ascii="仿宋_GB2312" w:hAnsi="仿宋_GB2312" w:cs="仿宋_GB2312" w:eastAsia="仿宋_GB2312"/>
                <w:sz w:val="24"/>
                <w:color w:val="000000"/>
              </w:rPr>
              <w:t>具体需求优先级描述定义如下：</w:t>
            </w:r>
          </w:p>
          <w:tbl>
            <w:tblPr>
              <w:tblBorders>
                <w:top w:val="none" w:color="000000" w:sz="4"/>
                <w:left w:val="none" w:color="000000" w:sz="4"/>
                <w:bottom w:val="none" w:color="000000" w:sz="4"/>
                <w:right w:val="none" w:color="000000" w:sz="4"/>
                <w:insideH w:val="none"/>
                <w:insideV w:val="none"/>
              </w:tblBorders>
            </w:tblPr>
            <w:tblGrid>
              <w:gridCol w:w="567"/>
              <w:gridCol w:w="1986"/>
            </w:tblGrid>
            <w:tr>
              <w:tc>
                <w:tcPr>
                  <w:tcW w:type="dxa" w:w="567"/>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需求等级</w:t>
                  </w:r>
                </w:p>
              </w:tc>
              <w:tc>
                <w:tcPr>
                  <w:tcW w:type="dxa" w:w="1986"/>
                  <w:tcBorders>
                    <w:top w:val="single" w:color="000000" w:sz="4"/>
                    <w:left w:val="single" w:color="000000" w:sz="4"/>
                    <w:bottom w:val="single" w:color="000000" w:sz="4"/>
                    <w:right w:val="single" w:color="000000" w:sz="4"/>
                  </w:tcBorders>
                  <w:shd w:fill="BEBEBE"/>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需求等级说明</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优先级高</w:t>
                  </w:r>
                </w:p>
              </w:tc>
              <w:tc>
                <w:tcPr>
                  <w:tcW w:type="dxa" w:w="1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客户迫切期望的需求，例如固定期限内需完成的政策性改造</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优先级中</w:t>
                  </w:r>
                </w:p>
              </w:tc>
              <w:tc>
                <w:tcPr>
                  <w:tcW w:type="dxa" w:w="1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客户期望一般的需求且暂有临时方案替代解决的需求</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优先级低</w:t>
                  </w:r>
                </w:p>
              </w:tc>
              <w:tc>
                <w:tcPr>
                  <w:tcW w:type="dxa" w:w="19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客户期望较低的需求或者系统持续优化类需求</w:t>
                  </w:r>
                </w:p>
              </w:tc>
            </w:tr>
          </w:tbl>
          <w:p>
            <w:pPr>
              <w:pStyle w:val="null3"/>
              <w:spacing w:before="165" w:after="165"/>
              <w:jc w:val="both"/>
              <w:outlineLvl w:val="0"/>
            </w:pPr>
            <w:r>
              <w:rPr>
                <w:rFonts w:ascii="仿宋_GB2312" w:hAnsi="仿宋_GB2312" w:cs="仿宋_GB2312" w:eastAsia="仿宋_GB2312"/>
                <w:sz w:val="30"/>
                <w:b/>
              </w:rPr>
              <w:t>4</w:t>
            </w:r>
            <w:r>
              <w:rPr>
                <w:rFonts w:ascii="仿宋_GB2312" w:hAnsi="仿宋_GB2312" w:cs="仿宋_GB2312" w:eastAsia="仿宋_GB2312"/>
                <w:sz w:val="30"/>
                <w:b/>
              </w:rPr>
              <w:t>驻场工程师</w:t>
            </w:r>
            <w:r>
              <w:rPr>
                <w:rFonts w:ascii="仿宋_GB2312" w:hAnsi="仿宋_GB2312" w:cs="仿宋_GB2312" w:eastAsia="仿宋_GB2312"/>
                <w:sz w:val="30"/>
                <w:b/>
              </w:rPr>
              <w:t>管理</w:t>
            </w:r>
          </w:p>
          <w:p>
            <w:pPr>
              <w:pStyle w:val="null3"/>
              <w:spacing w:before="165"/>
              <w:jc w:val="both"/>
              <w:outlineLvl w:val="1"/>
            </w:pPr>
            <w:r>
              <w:rPr>
                <w:rFonts w:ascii="仿宋_GB2312" w:hAnsi="仿宋_GB2312" w:cs="仿宋_GB2312" w:eastAsia="仿宋_GB2312"/>
                <w:sz w:val="28"/>
                <w:b/>
              </w:rPr>
              <w:t>4.1</w:t>
            </w:r>
            <w:r>
              <w:rPr>
                <w:rFonts w:ascii="仿宋_GB2312" w:hAnsi="仿宋_GB2312" w:cs="仿宋_GB2312" w:eastAsia="仿宋_GB2312"/>
                <w:sz w:val="28"/>
                <w:b/>
              </w:rPr>
              <w:t>驻场工程师具体要求</w:t>
            </w:r>
          </w:p>
          <w:p>
            <w:pPr>
              <w:pStyle w:val="null3"/>
              <w:numPr>
                <w:ilvl w:val="0"/>
                <w:numId w:val="1"/>
              </w:numPr>
              <w:jc w:val="both"/>
            </w:pPr>
            <w:r>
              <w:rPr>
                <w:rFonts w:ascii="仿宋_GB2312" w:hAnsi="仿宋_GB2312" w:cs="仿宋_GB2312" w:eastAsia="仿宋_GB2312"/>
                <w:sz w:val="28"/>
              </w:rPr>
              <w:t>具有三年以上三甲医院</w:t>
            </w:r>
            <w:r>
              <w:rPr>
                <w:rFonts w:ascii="仿宋_GB2312" w:hAnsi="仿宋_GB2312" w:cs="仿宋_GB2312" w:eastAsia="仿宋_GB2312"/>
                <w:sz w:val="28"/>
              </w:rPr>
              <w:t>HIS实施经验，沟通能力强。投标人须向医院提供至少二名实施人员进行筛选。</w:t>
            </w:r>
          </w:p>
          <w:p>
            <w:pPr>
              <w:pStyle w:val="null3"/>
              <w:numPr>
                <w:ilvl w:val="0"/>
                <w:numId w:val="1"/>
              </w:numPr>
              <w:jc w:val="both"/>
            </w:pPr>
            <w:r>
              <w:rPr>
                <w:rFonts w:ascii="仿宋_GB2312" w:hAnsi="仿宋_GB2312" w:cs="仿宋_GB2312" w:eastAsia="仿宋_GB2312"/>
                <w:sz w:val="28"/>
              </w:rPr>
              <w:t>每周提交工作周报。月度提供月度服务报告、系统巡检报告。</w:t>
            </w:r>
          </w:p>
          <w:p>
            <w:pPr>
              <w:pStyle w:val="null3"/>
              <w:numPr>
                <w:ilvl w:val="0"/>
                <w:numId w:val="1"/>
              </w:numPr>
              <w:jc w:val="both"/>
            </w:pPr>
            <w:r>
              <w:rPr>
                <w:rFonts w:ascii="仿宋_GB2312" w:hAnsi="仿宋_GB2312" w:cs="仿宋_GB2312" w:eastAsia="仿宋_GB2312"/>
                <w:sz w:val="28"/>
              </w:rPr>
              <w:t>驻场服务人员由院方计算机网络中心统一管理，管理内容包括：日常上下班时间、驻场期间工作纪律。驻场服务人员不得无故旷工，有特殊事项需向计算机网络中心请假报备，提供接替人员，做好交接。否则视为无故旷工，参照医院考勤相关规定处理。</w:t>
            </w:r>
          </w:p>
          <w:p>
            <w:pPr>
              <w:pStyle w:val="null3"/>
              <w:spacing w:before="165"/>
              <w:jc w:val="both"/>
              <w:outlineLvl w:val="1"/>
            </w:pPr>
            <w:r>
              <w:rPr>
                <w:rFonts w:ascii="仿宋_GB2312" w:hAnsi="仿宋_GB2312" w:cs="仿宋_GB2312" w:eastAsia="仿宋_GB2312"/>
                <w:sz w:val="28"/>
                <w:b/>
              </w:rPr>
              <w:t>4.2</w:t>
            </w:r>
            <w:r>
              <w:rPr>
                <w:rFonts w:ascii="仿宋_GB2312" w:hAnsi="仿宋_GB2312" w:cs="仿宋_GB2312" w:eastAsia="仿宋_GB2312"/>
                <w:sz w:val="28"/>
                <w:b/>
              </w:rPr>
              <w:t>驻场工程师</w:t>
            </w:r>
            <w:r>
              <w:rPr>
                <w:rFonts w:ascii="仿宋_GB2312" w:hAnsi="仿宋_GB2312" w:cs="仿宋_GB2312" w:eastAsia="仿宋_GB2312"/>
                <w:sz w:val="28"/>
                <w:b/>
              </w:rPr>
              <w:t>保密要求</w:t>
            </w:r>
          </w:p>
          <w:p>
            <w:pPr>
              <w:pStyle w:val="null3"/>
              <w:ind w:left="285"/>
              <w:jc w:val="both"/>
            </w:pPr>
            <w:r>
              <w:rPr>
                <w:rFonts w:ascii="仿宋_GB2312" w:hAnsi="仿宋_GB2312" w:cs="仿宋_GB2312" w:eastAsia="仿宋_GB2312"/>
                <w:sz w:val="28"/>
              </w:rPr>
              <w:t>1.驻场工程师需具有较高素养，严禁进入与工作无关的区域，动用与工作无关的物品;</w:t>
            </w:r>
          </w:p>
          <w:p>
            <w:pPr>
              <w:pStyle w:val="null3"/>
              <w:ind w:left="285"/>
              <w:jc w:val="both"/>
            </w:pPr>
            <w:r>
              <w:rPr>
                <w:rFonts w:ascii="仿宋_GB2312" w:hAnsi="仿宋_GB2312" w:cs="仿宋_GB2312" w:eastAsia="仿宋_GB2312"/>
                <w:sz w:val="28"/>
              </w:rPr>
              <w:t>2.驻场工程师必须获得投标人授权，无条件与院方签署</w:t>
            </w:r>
            <w:r>
              <w:rPr>
                <w:rFonts w:ascii="仿宋_GB2312" w:hAnsi="仿宋_GB2312" w:cs="仿宋_GB2312" w:eastAsia="仿宋_GB2312"/>
                <w:sz w:val="28"/>
              </w:rPr>
              <w:t>《汉中市中心医院第三方人员网络信息安全保密承诺书》</w:t>
            </w:r>
            <w:r>
              <w:rPr>
                <w:rFonts w:ascii="仿宋_GB2312" w:hAnsi="仿宋_GB2312" w:cs="仿宋_GB2312" w:eastAsia="仿宋_GB2312"/>
                <w:sz w:val="28"/>
              </w:rPr>
              <w:t>，遵守相关约定</w:t>
            </w:r>
            <w:r>
              <w:rPr>
                <w:rFonts w:ascii="仿宋_GB2312" w:hAnsi="仿宋_GB2312" w:cs="仿宋_GB2312" w:eastAsia="仿宋_GB2312"/>
                <w:sz w:val="28"/>
              </w:rPr>
              <w:t>;</w:t>
            </w:r>
          </w:p>
          <w:p>
            <w:pPr>
              <w:pStyle w:val="null3"/>
              <w:ind w:left="285"/>
              <w:jc w:val="both"/>
            </w:pPr>
            <w:r>
              <w:rPr>
                <w:rFonts w:ascii="仿宋_GB2312" w:hAnsi="仿宋_GB2312" w:cs="仿宋_GB2312" w:eastAsia="仿宋_GB2312"/>
                <w:sz w:val="28"/>
              </w:rPr>
              <w:t>3.驻场工程师必须对医院的系统密码、数据库密码等重要密钥履行保密义务，妥善处理远程链接，未经许可，严禁将内网双网卡接入外网;</w:t>
            </w:r>
          </w:p>
          <w:p>
            <w:pPr>
              <w:pStyle w:val="null3"/>
              <w:jc w:val="both"/>
            </w:pPr>
            <w:r>
              <w:rPr>
                <w:rFonts w:ascii="仿宋_GB2312" w:hAnsi="仿宋_GB2312" w:cs="仿宋_GB2312" w:eastAsia="仿宋_GB2312"/>
                <w:sz w:val="28"/>
              </w:rPr>
              <w:t>4.严禁将医院数据泄露给第三方商业机构，如出现统方、患者隐私泄露等，交由司法机关严肃处理。</w:t>
            </w:r>
          </w:p>
          <w:p>
            <w:pPr>
              <w:pStyle w:val="null3"/>
              <w:spacing w:before="165" w:after="165"/>
              <w:jc w:val="both"/>
              <w:outlineLvl w:val="0"/>
            </w:pPr>
            <w:r>
              <w:rPr>
                <w:rFonts w:ascii="仿宋_GB2312" w:hAnsi="仿宋_GB2312" w:cs="仿宋_GB2312" w:eastAsia="仿宋_GB2312"/>
                <w:sz w:val="30"/>
                <w:b/>
              </w:rPr>
              <w:t>5</w:t>
            </w:r>
            <w:r>
              <w:rPr>
                <w:rFonts w:ascii="仿宋_GB2312" w:hAnsi="仿宋_GB2312" w:cs="仿宋_GB2312" w:eastAsia="仿宋_GB2312"/>
                <w:sz w:val="30"/>
                <w:b/>
              </w:rPr>
              <w:t>服务质量考核</w:t>
            </w:r>
          </w:p>
          <w:p>
            <w:pPr>
              <w:pStyle w:val="null3"/>
              <w:spacing w:before="165"/>
              <w:jc w:val="both"/>
              <w:outlineLvl w:val="1"/>
            </w:pPr>
            <w:r>
              <w:rPr>
                <w:rFonts w:ascii="仿宋_GB2312" w:hAnsi="仿宋_GB2312" w:cs="仿宋_GB2312" w:eastAsia="仿宋_GB2312"/>
                <w:sz w:val="28"/>
                <w:b/>
              </w:rPr>
              <w:t>5.1</w:t>
            </w:r>
            <w:r>
              <w:rPr>
                <w:rFonts w:ascii="仿宋_GB2312" w:hAnsi="仿宋_GB2312" w:cs="仿宋_GB2312" w:eastAsia="仿宋_GB2312"/>
                <w:sz w:val="28"/>
                <w:b/>
              </w:rPr>
              <w:t>服务质量考核</w:t>
            </w:r>
          </w:p>
          <w:p>
            <w:pPr>
              <w:pStyle w:val="null3"/>
              <w:jc w:val="both"/>
            </w:pPr>
            <w:r>
              <w:rPr>
                <w:rFonts w:ascii="仿宋_GB2312" w:hAnsi="仿宋_GB2312" w:cs="仿宋_GB2312" w:eastAsia="仿宋_GB2312"/>
                <w:sz w:val="28"/>
              </w:rPr>
              <w:t>1、总体考核办法</w:t>
            </w:r>
          </w:p>
          <w:p>
            <w:pPr>
              <w:pStyle w:val="null3"/>
              <w:ind w:firstLine="560"/>
              <w:jc w:val="both"/>
            </w:pPr>
            <w:r>
              <w:rPr>
                <w:rFonts w:ascii="仿宋_GB2312" w:hAnsi="仿宋_GB2312" w:cs="仿宋_GB2312" w:eastAsia="仿宋_GB2312"/>
                <w:sz w:val="28"/>
              </w:rPr>
              <w:t>根据工作量、满意度、现场人员等内容，对投标人服务期间进行质量考核评价，该评价作为下一年度公司服务合同金额的依据。</w:t>
            </w:r>
          </w:p>
          <w:p>
            <w:pPr>
              <w:pStyle w:val="null3"/>
              <w:ind w:firstLine="560"/>
              <w:jc w:val="both"/>
            </w:pPr>
            <w:r>
              <w:rPr>
                <w:rFonts w:ascii="仿宋_GB2312" w:hAnsi="仿宋_GB2312" w:cs="仿宋_GB2312" w:eastAsia="仿宋_GB2312"/>
                <w:sz w:val="28"/>
              </w:rPr>
              <w:t>总体评价按百分制，其中工作量占比</w:t>
            </w:r>
            <w:r>
              <w:rPr>
                <w:rFonts w:ascii="仿宋_GB2312" w:hAnsi="仿宋_GB2312" w:cs="仿宋_GB2312" w:eastAsia="仿宋_GB2312"/>
                <w:sz w:val="28"/>
              </w:rPr>
              <w:t>40%（40分），满意度占比30%（30分），现场人员等其它考核评价占比30%（30分），并依据评分评定为ABCD四个等级：</w:t>
            </w:r>
          </w:p>
          <w:p>
            <w:pPr>
              <w:pStyle w:val="null3"/>
              <w:ind w:left="480"/>
              <w:jc w:val="both"/>
            </w:pPr>
            <w:r>
              <w:rPr>
                <w:rFonts w:ascii="仿宋_GB2312" w:hAnsi="仿宋_GB2312" w:cs="仿宋_GB2312" w:eastAsia="仿宋_GB2312"/>
                <w:sz w:val="28"/>
              </w:rPr>
              <w:t>A级为90分及以上，下一年度合同费用按全额结算；</w:t>
            </w:r>
          </w:p>
          <w:p>
            <w:pPr>
              <w:pStyle w:val="null3"/>
              <w:ind w:left="480"/>
              <w:jc w:val="both"/>
            </w:pPr>
            <w:r>
              <w:rPr>
                <w:rFonts w:ascii="仿宋_GB2312" w:hAnsi="仿宋_GB2312" w:cs="仿宋_GB2312" w:eastAsia="仿宋_GB2312"/>
                <w:sz w:val="28"/>
              </w:rPr>
              <w:t>B级为80分至89分，下一年度合同费用按95%结算；</w:t>
            </w:r>
          </w:p>
          <w:p>
            <w:pPr>
              <w:pStyle w:val="null3"/>
              <w:ind w:left="480"/>
              <w:jc w:val="both"/>
            </w:pPr>
            <w:r>
              <w:rPr>
                <w:rFonts w:ascii="仿宋_GB2312" w:hAnsi="仿宋_GB2312" w:cs="仿宋_GB2312" w:eastAsia="仿宋_GB2312"/>
                <w:sz w:val="28"/>
              </w:rPr>
              <w:t>C级为79分及以下（含79分），下一年度合同费用按90%结算；</w:t>
            </w:r>
          </w:p>
          <w:p>
            <w:pPr>
              <w:pStyle w:val="null3"/>
              <w:ind w:left="480"/>
              <w:jc w:val="both"/>
            </w:pPr>
            <w:r>
              <w:rPr>
                <w:rFonts w:ascii="仿宋_GB2312" w:hAnsi="仿宋_GB2312" w:cs="仿宋_GB2312" w:eastAsia="仿宋_GB2312"/>
                <w:sz w:val="28"/>
              </w:rPr>
              <w:t>D级为连续2次被评为C级，或发生重大安全责任事故（含重大治安责任事件），则评定为D级，现场维护人员予以清退。</w:t>
            </w:r>
          </w:p>
          <w:p>
            <w:pPr>
              <w:pStyle w:val="null3"/>
              <w:jc w:val="both"/>
            </w:pPr>
            <w:r>
              <w:rPr>
                <w:rFonts w:ascii="仿宋_GB2312" w:hAnsi="仿宋_GB2312" w:cs="仿宋_GB2312" w:eastAsia="仿宋_GB2312"/>
                <w:sz w:val="28"/>
              </w:rPr>
              <w:t>2、工作量考核</w:t>
            </w:r>
          </w:p>
          <w:p>
            <w:pPr>
              <w:pStyle w:val="null3"/>
              <w:ind w:firstLine="560"/>
              <w:jc w:val="both"/>
            </w:pPr>
            <w:r>
              <w:rPr>
                <w:rFonts w:ascii="仿宋_GB2312" w:hAnsi="仿宋_GB2312" w:cs="仿宋_GB2312" w:eastAsia="仿宋_GB2312"/>
                <w:sz w:val="28"/>
              </w:rPr>
              <w:t>依据工作底稿登记的工作量，按以下公式进行计算：</w:t>
            </w:r>
          </w:p>
          <w:p>
            <w:pPr>
              <w:pStyle w:val="null3"/>
              <w:jc w:val="both"/>
            </w:pPr>
            <w:r>
              <w:rPr>
                <w:rFonts w:ascii="仿宋_GB2312" w:hAnsi="仿宋_GB2312" w:cs="仿宋_GB2312" w:eastAsia="仿宋_GB2312"/>
                <w:sz w:val="28"/>
              </w:rPr>
              <w:t>工作量考核得分</w:t>
            </w:r>
            <w:r>
              <w:rPr>
                <w:rFonts w:ascii="仿宋_GB2312" w:hAnsi="仿宋_GB2312" w:cs="仿宋_GB2312" w:eastAsia="仿宋_GB2312"/>
                <w:sz w:val="28"/>
              </w:rPr>
              <w:t>=（已完成任务数/总登记任务数）×40。</w:t>
            </w:r>
          </w:p>
          <w:p>
            <w:pPr>
              <w:pStyle w:val="null3"/>
              <w:jc w:val="both"/>
            </w:pPr>
            <w:r>
              <w:rPr>
                <w:rFonts w:ascii="仿宋_GB2312" w:hAnsi="仿宋_GB2312" w:cs="仿宋_GB2312" w:eastAsia="仿宋_GB2312"/>
                <w:sz w:val="28"/>
              </w:rPr>
              <w:t>3、满意度考核</w:t>
            </w:r>
          </w:p>
          <w:p>
            <w:pPr>
              <w:pStyle w:val="null3"/>
              <w:ind w:firstLine="560"/>
              <w:jc w:val="both"/>
            </w:pPr>
            <w:r>
              <w:rPr>
                <w:rFonts w:ascii="仿宋_GB2312" w:hAnsi="仿宋_GB2312" w:cs="仿宋_GB2312" w:eastAsia="仿宋_GB2312"/>
                <w:sz w:val="28"/>
              </w:rPr>
              <w:t>按服务期，对投标人服务及时性、服务态度等满意度内容进行考核，大范围征求科室意见（调查问卷不低于</w:t>
            </w:r>
            <w:r>
              <w:rPr>
                <w:rFonts w:ascii="仿宋_GB2312" w:hAnsi="仿宋_GB2312" w:cs="仿宋_GB2312" w:eastAsia="仿宋_GB2312"/>
                <w:sz w:val="28"/>
              </w:rPr>
              <w:t>100份，有效问卷不低于80份），随机抽查医院各部门对投标人服务的综合满意率，满意度考核得分按以下公式进行计算：</w:t>
            </w:r>
          </w:p>
          <w:p>
            <w:pPr>
              <w:pStyle w:val="null3"/>
              <w:jc w:val="both"/>
            </w:pPr>
            <w:r>
              <w:rPr>
                <w:rFonts w:ascii="仿宋_GB2312" w:hAnsi="仿宋_GB2312" w:cs="仿宋_GB2312" w:eastAsia="仿宋_GB2312"/>
                <w:sz w:val="28"/>
              </w:rPr>
              <w:t>满意度考核得分</w:t>
            </w:r>
            <w:r>
              <w:rPr>
                <w:rFonts w:ascii="仿宋_GB2312" w:hAnsi="仿宋_GB2312" w:cs="仿宋_GB2312" w:eastAsia="仿宋_GB2312"/>
                <w:sz w:val="28"/>
              </w:rPr>
              <w:t>=满意率×30。</w:t>
            </w:r>
          </w:p>
          <w:p>
            <w:pPr>
              <w:pStyle w:val="null3"/>
              <w:jc w:val="both"/>
            </w:pPr>
            <w:r>
              <w:rPr>
                <w:rFonts w:ascii="仿宋_GB2312" w:hAnsi="仿宋_GB2312" w:cs="仿宋_GB2312" w:eastAsia="仿宋_GB2312"/>
                <w:sz w:val="28"/>
              </w:rPr>
              <w:t>4、信息主管部门考核</w:t>
            </w:r>
          </w:p>
          <w:p>
            <w:pPr>
              <w:pStyle w:val="null3"/>
              <w:jc w:val="both"/>
            </w:pPr>
            <w:r>
              <w:rPr>
                <w:rFonts w:ascii="仿宋_GB2312" w:hAnsi="仿宋_GB2312" w:cs="仿宋_GB2312" w:eastAsia="仿宋_GB2312"/>
                <w:sz w:val="28"/>
              </w:rPr>
              <w:t>考核内容详见售后服务考核表。</w:t>
            </w:r>
          </w:p>
          <w:p>
            <w:pPr>
              <w:pStyle w:val="null3"/>
              <w:jc w:val="both"/>
            </w:pPr>
            <w:r>
              <w:rPr>
                <w:rFonts w:ascii="仿宋_GB2312" w:hAnsi="仿宋_GB2312" w:cs="仿宋_GB2312" w:eastAsia="仿宋_GB2312"/>
                <w:sz w:val="28"/>
              </w:rPr>
              <w:t>5、其它考核</w:t>
            </w:r>
          </w:p>
          <w:p>
            <w:pPr>
              <w:pStyle w:val="null3"/>
              <w:ind w:firstLine="560"/>
              <w:jc w:val="both"/>
            </w:pPr>
            <w:r>
              <w:rPr>
                <w:rFonts w:ascii="仿宋_GB2312" w:hAnsi="仿宋_GB2312" w:cs="仿宋_GB2312" w:eastAsia="仿宋_GB2312"/>
                <w:sz w:val="28"/>
              </w:rPr>
              <w:t>投标人在医院服务期间，如发生安全事故，</w:t>
            </w:r>
            <w:r>
              <w:rPr>
                <w:rFonts w:ascii="仿宋_GB2312" w:hAnsi="仿宋_GB2312" w:cs="仿宋_GB2312" w:eastAsia="仿宋_GB2312"/>
                <w:sz w:val="28"/>
              </w:rPr>
              <w:t>I级事故一次扣20分，Ⅱ级事故一次扣10分，Ⅲ级事故一次扣5分。Ⅰ级事故：影响全院业务的正常运行，丢失数据，造成实际损失。Ⅱ级事故：影响部门业务的正常运行，造成实际损失。Ⅲ级事故：一般问题除上述Ⅰ、Ⅱ以外的问题，具体问题由计算机网络中心判定。</w:t>
            </w:r>
          </w:p>
          <w:p>
            <w:pPr>
              <w:pStyle w:val="null3"/>
              <w:ind w:firstLine="560"/>
              <w:jc w:val="both"/>
            </w:pPr>
            <w:r>
              <w:rPr>
                <w:rFonts w:ascii="仿宋_GB2312" w:hAnsi="仿宋_GB2312" w:cs="仿宋_GB2312" w:eastAsia="仿宋_GB2312"/>
                <w:sz w:val="28"/>
              </w:rPr>
              <w:t>投标人在医院服务过程中，如收到业务部门投诉及不配合医院业务主管部门计算机网络中心协调，服务态度较差等情况，由计算机网络中心核实后，直接进行</w:t>
            </w:r>
            <w:r>
              <w:rPr>
                <w:rFonts w:ascii="仿宋_GB2312" w:hAnsi="仿宋_GB2312" w:cs="仿宋_GB2312" w:eastAsia="仿宋_GB2312"/>
                <w:sz w:val="28"/>
              </w:rPr>
              <w:t>2—10分的扣罚。</w:t>
            </w:r>
          </w:p>
          <w:p>
            <w:pPr>
              <w:pStyle w:val="null3"/>
              <w:jc w:val="both"/>
            </w:pPr>
            <w:r>
              <w:rPr>
                <w:rFonts w:ascii="仿宋_GB2312" w:hAnsi="仿宋_GB2312" w:cs="仿宋_GB2312" w:eastAsia="仿宋_GB2312"/>
                <w:sz w:val="28"/>
              </w:rPr>
              <w:t>6、售后服务考核表</w:t>
            </w:r>
          </w:p>
          <w:p>
            <w:pPr>
              <w:pStyle w:val="null3"/>
              <w:jc w:val="center"/>
            </w:pPr>
            <w:r>
              <w:rPr>
                <w:rFonts w:ascii="仿宋_GB2312" w:hAnsi="仿宋_GB2312" w:cs="仿宋_GB2312" w:eastAsia="仿宋_GB2312"/>
                <w:sz w:val="24"/>
                <w:b/>
              </w:rPr>
              <w:t>售后服务考核表</w:t>
            </w:r>
          </w:p>
          <w:tbl>
            <w:tblPr>
              <w:tblBorders>
                <w:top w:val="none" w:color="000000" w:sz="4"/>
                <w:left w:val="none" w:color="000000" w:sz="4"/>
                <w:bottom w:val="none" w:color="000000" w:sz="4"/>
                <w:right w:val="none" w:color="000000" w:sz="4"/>
                <w:insideH w:val="none"/>
                <w:insideV w:val="none"/>
              </w:tblBorders>
            </w:tblPr>
            <w:tblGrid>
              <w:gridCol w:w="403"/>
              <w:gridCol w:w="1515"/>
              <w:gridCol w:w="182"/>
              <w:gridCol w:w="442"/>
            </w:tblGrid>
            <w:tr>
              <w:tc>
                <w:tcPr>
                  <w:tcW w:type="dxa" w:w="4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考核名称</w:t>
                  </w:r>
                </w:p>
              </w:tc>
              <w:tc>
                <w:tcPr>
                  <w:tcW w:type="dxa" w:w="15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考核内容</w:t>
                  </w:r>
                </w:p>
              </w:tc>
              <w:tc>
                <w:tcPr>
                  <w:tcW w:type="dxa" w:w="1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分值</w:t>
                  </w:r>
                </w:p>
              </w:tc>
              <w:tc>
                <w:tcPr>
                  <w:tcW w:type="dxa" w:w="4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扣分情况</w:t>
                  </w: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驻场人员管理与配合情况（每项</w:t>
                  </w:r>
                  <w:r>
                    <w:rPr>
                      <w:rFonts w:ascii="仿宋_GB2312" w:hAnsi="仿宋_GB2312" w:cs="仿宋_GB2312" w:eastAsia="仿宋_GB2312"/>
                      <w:sz w:val="24"/>
                    </w:rPr>
                    <w:t>1分）</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严格履行医院及计算机网络中心的各项规章制度情况；</w:t>
                  </w:r>
                </w:p>
                <w:p>
                  <w:pPr>
                    <w:pStyle w:val="null3"/>
                    <w:numPr>
                      <w:ilvl w:val="0"/>
                      <w:numId w:val="1"/>
                    </w:numPr>
                    <w:jc w:val="left"/>
                  </w:pPr>
                  <w:r>
                    <w:rPr>
                      <w:rFonts w:ascii="仿宋_GB2312" w:hAnsi="仿宋_GB2312" w:cs="仿宋_GB2312" w:eastAsia="仿宋_GB2312"/>
                      <w:sz w:val="24"/>
                    </w:rPr>
                    <w:t>严格执行医院作息时间及节假日安排情况；</w:t>
                  </w:r>
                </w:p>
                <w:p>
                  <w:pPr>
                    <w:pStyle w:val="null3"/>
                    <w:numPr>
                      <w:ilvl w:val="0"/>
                      <w:numId w:val="1"/>
                    </w:numPr>
                    <w:jc w:val="left"/>
                  </w:pPr>
                  <w:r>
                    <w:rPr>
                      <w:rFonts w:ascii="仿宋_GB2312" w:hAnsi="仿宋_GB2312" w:cs="仿宋_GB2312" w:eastAsia="仿宋_GB2312"/>
                      <w:sz w:val="24"/>
                    </w:rPr>
                    <w:t>驻场人员接受医院信息主管部门管理情况；</w:t>
                  </w:r>
                </w:p>
                <w:p>
                  <w:pPr>
                    <w:pStyle w:val="null3"/>
                    <w:numPr>
                      <w:ilvl w:val="0"/>
                      <w:numId w:val="1"/>
                    </w:numPr>
                    <w:jc w:val="left"/>
                  </w:pPr>
                  <w:r>
                    <w:rPr>
                      <w:rFonts w:ascii="仿宋_GB2312" w:hAnsi="仿宋_GB2312" w:cs="仿宋_GB2312" w:eastAsia="仿宋_GB2312"/>
                      <w:sz w:val="24"/>
                    </w:rPr>
                    <w:t>按时参加医院信息主管部门工作例会情况；</w:t>
                  </w:r>
                </w:p>
                <w:p>
                  <w:pPr>
                    <w:pStyle w:val="null3"/>
                    <w:numPr>
                      <w:ilvl w:val="0"/>
                      <w:numId w:val="1"/>
                    </w:numPr>
                    <w:jc w:val="left"/>
                  </w:pPr>
                  <w:r>
                    <w:rPr>
                      <w:rFonts w:ascii="仿宋_GB2312" w:hAnsi="仿宋_GB2312" w:cs="仿宋_GB2312" w:eastAsia="仿宋_GB2312"/>
                      <w:sz w:val="24"/>
                    </w:rPr>
                    <w:t>驻场人员工作纪律（上班期间不得玩游戏，炒股等与工作无关上网行为）；</w:t>
                  </w:r>
                </w:p>
                <w:p>
                  <w:pPr>
                    <w:pStyle w:val="null3"/>
                    <w:numPr>
                      <w:ilvl w:val="0"/>
                      <w:numId w:val="1"/>
                    </w:numPr>
                    <w:jc w:val="left"/>
                  </w:pPr>
                  <w:r>
                    <w:rPr>
                      <w:rFonts w:ascii="仿宋_GB2312" w:hAnsi="仿宋_GB2312" w:cs="仿宋_GB2312" w:eastAsia="仿宋_GB2312"/>
                      <w:sz w:val="24"/>
                    </w:rPr>
                    <w:t>驻场人员保持工作环境整洁，清理卫生；</w:t>
                  </w:r>
                </w:p>
                <w:p>
                  <w:pPr>
                    <w:pStyle w:val="null3"/>
                    <w:numPr>
                      <w:ilvl w:val="0"/>
                      <w:numId w:val="1"/>
                    </w:numPr>
                    <w:jc w:val="left"/>
                  </w:pPr>
                  <w:r>
                    <w:rPr>
                      <w:rFonts w:ascii="仿宋_GB2312" w:hAnsi="仿宋_GB2312" w:cs="仿宋_GB2312" w:eastAsia="仿宋_GB2312"/>
                      <w:sz w:val="24"/>
                    </w:rPr>
                    <w:t>驻场办公室安全状况（钥匙管理，下班随手关掉水源及各类电器开关，杜绝火灾等安全隐患）。</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1"/>
                    <w:jc w:val="center"/>
                  </w:pPr>
                  <w:r>
                    <w:rPr>
                      <w:rFonts w:ascii="仿宋_GB2312" w:hAnsi="仿宋_GB2312" w:cs="仿宋_GB2312" w:eastAsia="仿宋_GB2312"/>
                      <w:sz w:val="24"/>
                    </w:rPr>
                    <w:t>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合同履行情况（每项</w:t>
                  </w:r>
                  <w:r>
                    <w:rPr>
                      <w:rFonts w:ascii="仿宋_GB2312" w:hAnsi="仿宋_GB2312" w:cs="仿宋_GB2312" w:eastAsia="仿宋_GB2312"/>
                      <w:sz w:val="24"/>
                    </w:rPr>
                    <w:t>1分）</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进行每周工作汇报，周报及时性；</w:t>
                  </w:r>
                </w:p>
                <w:p>
                  <w:pPr>
                    <w:pStyle w:val="null3"/>
                    <w:numPr>
                      <w:ilvl w:val="0"/>
                      <w:numId w:val="1"/>
                    </w:numPr>
                    <w:jc w:val="left"/>
                  </w:pPr>
                  <w:r>
                    <w:rPr>
                      <w:rFonts w:ascii="仿宋_GB2312" w:hAnsi="仿宋_GB2312" w:cs="仿宋_GB2312" w:eastAsia="仿宋_GB2312"/>
                      <w:sz w:val="24"/>
                    </w:rPr>
                    <w:t>接受医院技术咨询并及时反馈；</w:t>
                  </w:r>
                </w:p>
                <w:p>
                  <w:pPr>
                    <w:pStyle w:val="null3"/>
                    <w:numPr>
                      <w:ilvl w:val="0"/>
                      <w:numId w:val="1"/>
                    </w:numPr>
                    <w:jc w:val="left"/>
                  </w:pPr>
                  <w:r>
                    <w:rPr>
                      <w:rFonts w:ascii="仿宋_GB2312" w:hAnsi="仿宋_GB2312" w:cs="仿宋_GB2312" w:eastAsia="仿宋_GB2312"/>
                      <w:sz w:val="24"/>
                    </w:rPr>
                    <w:t>不少于每季度出具售后服务巡检技术报告；</w:t>
                  </w:r>
                </w:p>
                <w:p>
                  <w:pPr>
                    <w:pStyle w:val="null3"/>
                    <w:numPr>
                      <w:ilvl w:val="0"/>
                      <w:numId w:val="1"/>
                    </w:numPr>
                    <w:jc w:val="left"/>
                  </w:pPr>
                  <w:r>
                    <w:rPr>
                      <w:rFonts w:ascii="仿宋_GB2312" w:hAnsi="仿宋_GB2312" w:cs="仿宋_GB2312" w:eastAsia="仿宋_GB2312"/>
                      <w:sz w:val="24"/>
                    </w:rPr>
                    <w:t>对系统可能存在的风险进行提醒，提供合理解决方案；</w:t>
                  </w:r>
                </w:p>
                <w:p>
                  <w:pPr>
                    <w:pStyle w:val="null3"/>
                    <w:numPr>
                      <w:ilvl w:val="0"/>
                      <w:numId w:val="1"/>
                    </w:numPr>
                    <w:jc w:val="left"/>
                  </w:pPr>
                  <w:r>
                    <w:rPr>
                      <w:rFonts w:ascii="仿宋_GB2312" w:hAnsi="仿宋_GB2312" w:cs="仿宋_GB2312" w:eastAsia="仿宋_GB2312"/>
                      <w:sz w:val="24"/>
                    </w:rPr>
                    <w:t>对医院系统资源进行评估，基础设施架构咨询，系统集成咨询；</w:t>
                  </w:r>
                </w:p>
                <w:p>
                  <w:pPr>
                    <w:pStyle w:val="null3"/>
                    <w:numPr>
                      <w:ilvl w:val="0"/>
                      <w:numId w:val="1"/>
                    </w:numPr>
                    <w:jc w:val="left"/>
                  </w:pPr>
                  <w:r>
                    <w:rPr>
                      <w:rFonts w:ascii="仿宋_GB2312" w:hAnsi="仿宋_GB2312" w:cs="仿宋_GB2312" w:eastAsia="仿宋_GB2312"/>
                      <w:sz w:val="24"/>
                    </w:rPr>
                    <w:t>应用软件的日常数据检查、维护；</w:t>
                  </w:r>
                </w:p>
                <w:p>
                  <w:pPr>
                    <w:pStyle w:val="null3"/>
                    <w:numPr>
                      <w:ilvl w:val="0"/>
                      <w:numId w:val="1"/>
                    </w:numPr>
                    <w:jc w:val="left"/>
                  </w:pPr>
                  <w:r>
                    <w:rPr>
                      <w:rFonts w:ascii="仿宋_GB2312" w:hAnsi="仿宋_GB2312" w:cs="仿宋_GB2312" w:eastAsia="仿宋_GB2312"/>
                      <w:sz w:val="24"/>
                    </w:rPr>
                    <w:t>应用软件服务器端环境维护；</w:t>
                  </w:r>
                </w:p>
                <w:p>
                  <w:pPr>
                    <w:pStyle w:val="null3"/>
                    <w:numPr>
                      <w:ilvl w:val="0"/>
                      <w:numId w:val="1"/>
                    </w:numPr>
                    <w:jc w:val="left"/>
                  </w:pPr>
                  <w:r>
                    <w:rPr>
                      <w:rFonts w:ascii="仿宋_GB2312" w:hAnsi="仿宋_GB2312" w:cs="仿宋_GB2312" w:eastAsia="仿宋_GB2312"/>
                      <w:sz w:val="24"/>
                    </w:rPr>
                    <w:t>应用软件工作站端环境维护；</w:t>
                  </w:r>
                </w:p>
                <w:p>
                  <w:pPr>
                    <w:pStyle w:val="null3"/>
                    <w:numPr>
                      <w:ilvl w:val="0"/>
                      <w:numId w:val="1"/>
                    </w:numPr>
                    <w:jc w:val="left"/>
                  </w:pPr>
                  <w:r>
                    <w:rPr>
                      <w:rFonts w:ascii="仿宋_GB2312" w:hAnsi="仿宋_GB2312" w:cs="仿宋_GB2312" w:eastAsia="仿宋_GB2312"/>
                      <w:sz w:val="24"/>
                    </w:rPr>
                    <w:t>数据库的日常维护；</w:t>
                  </w:r>
                </w:p>
                <w:p>
                  <w:pPr>
                    <w:pStyle w:val="null3"/>
                    <w:ind w:left="480"/>
                    <w:jc w:val="left"/>
                  </w:pPr>
                  <w:r>
                    <w:rPr>
                      <w:rFonts w:ascii="仿宋_GB2312" w:hAnsi="仿宋_GB2312" w:cs="仿宋_GB2312" w:eastAsia="仿宋_GB2312"/>
                      <w:sz w:val="24"/>
                    </w:rPr>
                    <w:t>10、数据库历史数据的迁移，提供大数据解决方案；</w:t>
                  </w:r>
                </w:p>
                <w:p>
                  <w:pPr>
                    <w:pStyle w:val="null3"/>
                    <w:jc w:val="left"/>
                  </w:pPr>
                  <w:r>
                    <w:rPr>
                      <w:rFonts w:ascii="仿宋_GB2312" w:hAnsi="仿宋_GB2312" w:cs="仿宋_GB2312" w:eastAsia="仿宋_GB2312"/>
                      <w:sz w:val="24"/>
                    </w:rPr>
                    <w:t>11、配合医院进行数据库备份；</w:t>
                  </w:r>
                </w:p>
                <w:p>
                  <w:pPr>
                    <w:pStyle w:val="null3"/>
                    <w:ind w:left="480"/>
                    <w:jc w:val="left"/>
                  </w:pPr>
                  <w:r>
                    <w:rPr>
                      <w:rFonts w:ascii="仿宋_GB2312" w:hAnsi="仿宋_GB2312" w:cs="仿宋_GB2312" w:eastAsia="仿宋_GB2312"/>
                      <w:sz w:val="24"/>
                    </w:rPr>
                    <w:t>1</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提供软件正常运行的必要技术资料；</w:t>
                  </w:r>
                </w:p>
                <w:p>
                  <w:pPr>
                    <w:pStyle w:val="null3"/>
                    <w:ind w:left="480"/>
                    <w:jc w:val="left"/>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、培训，配合医院进行新员工操作培训，管理员培训。</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需求处理</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工作底稿登记；</w:t>
                  </w:r>
                </w:p>
                <w:p>
                  <w:pPr>
                    <w:pStyle w:val="null3"/>
                    <w:numPr>
                      <w:ilvl w:val="0"/>
                      <w:numId w:val="1"/>
                    </w:numPr>
                    <w:jc w:val="left"/>
                  </w:pPr>
                  <w:r>
                    <w:rPr>
                      <w:rFonts w:ascii="仿宋_GB2312" w:hAnsi="仿宋_GB2312" w:cs="仿宋_GB2312" w:eastAsia="仿宋_GB2312"/>
                      <w:sz w:val="24"/>
                    </w:rPr>
                    <w:t>需求处理有解决时间点、解决方案；</w:t>
                  </w:r>
                </w:p>
                <w:p>
                  <w:pPr>
                    <w:pStyle w:val="null3"/>
                    <w:numPr>
                      <w:ilvl w:val="0"/>
                      <w:numId w:val="1"/>
                    </w:numPr>
                    <w:jc w:val="left"/>
                  </w:pPr>
                  <w:r>
                    <w:rPr>
                      <w:rFonts w:ascii="仿宋_GB2312" w:hAnsi="仿宋_GB2312" w:cs="仿宋_GB2312" w:eastAsia="仿宋_GB2312"/>
                      <w:sz w:val="24"/>
                    </w:rPr>
                    <w:t>需求的沟通，与应用部门的配合；</w:t>
                  </w:r>
                </w:p>
                <w:p>
                  <w:pPr>
                    <w:pStyle w:val="null3"/>
                    <w:numPr>
                      <w:ilvl w:val="0"/>
                      <w:numId w:val="1"/>
                    </w:numPr>
                    <w:jc w:val="left"/>
                  </w:pPr>
                  <w:r>
                    <w:rPr>
                      <w:rFonts w:ascii="仿宋_GB2312" w:hAnsi="仿宋_GB2312" w:cs="仿宋_GB2312" w:eastAsia="仿宋_GB2312"/>
                      <w:sz w:val="24"/>
                    </w:rPr>
                    <w:t>需求处理测试；</w:t>
                  </w:r>
                </w:p>
                <w:p>
                  <w:pPr>
                    <w:pStyle w:val="null3"/>
                    <w:numPr>
                      <w:ilvl w:val="0"/>
                      <w:numId w:val="1"/>
                    </w:numPr>
                    <w:jc w:val="left"/>
                  </w:pPr>
                  <w:r>
                    <w:rPr>
                      <w:rFonts w:ascii="仿宋_GB2312" w:hAnsi="仿宋_GB2312" w:cs="仿宋_GB2312" w:eastAsia="仿宋_GB2312"/>
                      <w:sz w:val="24"/>
                    </w:rPr>
                    <w:t>需求处理升级；</w:t>
                  </w:r>
                </w:p>
                <w:p>
                  <w:pPr>
                    <w:pStyle w:val="null3"/>
                    <w:numPr>
                      <w:ilvl w:val="0"/>
                      <w:numId w:val="1"/>
                    </w:numPr>
                    <w:jc w:val="left"/>
                  </w:pPr>
                  <w:r>
                    <w:rPr>
                      <w:rFonts w:ascii="仿宋_GB2312" w:hAnsi="仿宋_GB2312" w:cs="仿宋_GB2312" w:eastAsia="仿宋_GB2312"/>
                      <w:sz w:val="24"/>
                    </w:rPr>
                    <w:t>需求处理的及时性；</w:t>
                  </w:r>
                </w:p>
                <w:p>
                  <w:pPr>
                    <w:pStyle w:val="null3"/>
                    <w:numPr>
                      <w:ilvl w:val="0"/>
                      <w:numId w:val="1"/>
                    </w:numPr>
                    <w:jc w:val="left"/>
                  </w:pPr>
                  <w:r>
                    <w:rPr>
                      <w:rFonts w:ascii="仿宋_GB2312" w:hAnsi="仿宋_GB2312" w:cs="仿宋_GB2312" w:eastAsia="仿宋_GB2312"/>
                      <w:sz w:val="24"/>
                    </w:rPr>
                    <w:t>需求处理的二次返工及新增其它问题。</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重大安全事件</w:t>
                  </w:r>
                </w:p>
              </w:tc>
              <w:tc>
                <w:tcPr>
                  <w:tcW w:type="dxa" w:w="15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4"/>
                    </w:rPr>
                    <w:t>造成医院部门网络瘫痪；</w:t>
                  </w:r>
                </w:p>
                <w:p>
                  <w:pPr>
                    <w:pStyle w:val="null3"/>
                    <w:numPr>
                      <w:ilvl w:val="0"/>
                      <w:numId w:val="1"/>
                    </w:numPr>
                    <w:jc w:val="left"/>
                  </w:pPr>
                  <w:r>
                    <w:rPr>
                      <w:rFonts w:ascii="仿宋_GB2312" w:hAnsi="仿宋_GB2312" w:cs="仿宋_GB2312" w:eastAsia="仿宋_GB2312"/>
                      <w:sz w:val="24"/>
                    </w:rPr>
                    <w:t>不接受安全教育，长期或非正常工作需求接入外网远程；</w:t>
                  </w:r>
                </w:p>
                <w:p>
                  <w:pPr>
                    <w:pStyle w:val="null3"/>
                    <w:numPr>
                      <w:ilvl w:val="0"/>
                      <w:numId w:val="1"/>
                    </w:numPr>
                    <w:jc w:val="left"/>
                  </w:pPr>
                  <w:r>
                    <w:rPr>
                      <w:rFonts w:ascii="仿宋_GB2312" w:hAnsi="仿宋_GB2312" w:cs="仿宋_GB2312" w:eastAsia="仿宋_GB2312"/>
                      <w:sz w:val="24"/>
                      <w:color w:val="000000"/>
                    </w:rPr>
                    <w:t>关键性现场技术支持服务能力。</w:t>
                  </w:r>
                </w:p>
              </w:tc>
              <w:tc>
                <w:tcPr>
                  <w:tcW w:type="dxa" w:w="1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2"/>
                    <w:jc w:val="center"/>
                  </w:pPr>
                  <w:r>
                    <w:rPr>
                      <w:rFonts w:ascii="仿宋_GB2312" w:hAnsi="仿宋_GB2312" w:cs="仿宋_GB2312" w:eastAsia="仿宋_GB2312"/>
                      <w:sz w:val="24"/>
                    </w:rPr>
                    <w:t>3</w:t>
                  </w:r>
                </w:p>
              </w:tc>
              <w:tc>
                <w:tcPr>
                  <w:tcW w:type="dxa" w:w="4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both"/>
              <w:outlineLvl w:val="0"/>
            </w:pPr>
            <w:r>
              <w:rPr>
                <w:rFonts w:ascii="仿宋_GB2312" w:hAnsi="仿宋_GB2312" w:cs="仿宋_GB2312" w:eastAsia="仿宋_GB2312"/>
                <w:sz w:val="30"/>
                <w:b/>
              </w:rPr>
              <w:t>6</w:t>
            </w:r>
            <w:r>
              <w:rPr>
                <w:rFonts w:ascii="仿宋_GB2312" w:hAnsi="仿宋_GB2312" w:cs="仿宋_GB2312" w:eastAsia="仿宋_GB2312"/>
                <w:sz w:val="30"/>
                <w:b/>
              </w:rPr>
              <w:t>其他服务内容</w:t>
            </w:r>
          </w:p>
          <w:p>
            <w:pPr>
              <w:pStyle w:val="null3"/>
              <w:spacing w:before="165"/>
              <w:jc w:val="both"/>
              <w:outlineLvl w:val="1"/>
            </w:pPr>
            <w:r>
              <w:rPr>
                <w:rFonts w:ascii="仿宋_GB2312" w:hAnsi="仿宋_GB2312" w:cs="仿宋_GB2312" w:eastAsia="仿宋_GB2312"/>
                <w:sz w:val="28"/>
                <w:b/>
              </w:rPr>
              <w:t>6.1</w:t>
            </w:r>
            <w:r>
              <w:rPr>
                <w:rFonts w:ascii="仿宋_GB2312" w:hAnsi="仿宋_GB2312" w:cs="仿宋_GB2312" w:eastAsia="仿宋_GB2312"/>
                <w:sz w:val="28"/>
                <w:b/>
              </w:rPr>
              <w:t>数据库性能优化服务</w:t>
            </w:r>
          </w:p>
          <w:p>
            <w:pPr>
              <w:pStyle w:val="null3"/>
              <w:spacing w:before="255" w:after="255"/>
              <w:jc w:val="both"/>
              <w:outlineLvl w:val="2"/>
            </w:pPr>
            <w:r>
              <w:rPr>
                <w:rFonts w:ascii="仿宋_GB2312" w:hAnsi="仿宋_GB2312" w:cs="仿宋_GB2312" w:eastAsia="仿宋_GB2312"/>
                <w:sz w:val="28"/>
                <w:b/>
              </w:rPr>
              <w:t>6.1.1</w:t>
            </w:r>
            <w:r>
              <w:rPr>
                <w:rFonts w:ascii="仿宋_GB2312" w:hAnsi="仿宋_GB2312" w:cs="仿宋_GB2312" w:eastAsia="仿宋_GB2312"/>
                <w:sz w:val="28"/>
                <w:b/>
              </w:rPr>
              <w:t>服务定义</w:t>
            </w:r>
          </w:p>
          <w:p>
            <w:pPr>
              <w:pStyle w:val="null3"/>
              <w:ind w:firstLine="560"/>
              <w:jc w:val="both"/>
            </w:pPr>
            <w:r>
              <w:rPr>
                <w:rFonts w:ascii="仿宋_GB2312" w:hAnsi="仿宋_GB2312" w:cs="仿宋_GB2312" w:eastAsia="仿宋_GB2312"/>
                <w:sz w:val="28"/>
              </w:rPr>
              <w:t>此项服务是指数据库运维技术专家前往客户现场对数据库进行性能巡检并完成针对性优化，及时解决潜在的风险，提升用户使用体验感。</w:t>
            </w:r>
          </w:p>
          <w:p>
            <w:pPr>
              <w:pStyle w:val="null3"/>
              <w:jc w:val="both"/>
            </w:pPr>
            <w:r>
              <w:rPr>
                <w:rFonts w:ascii="仿宋_GB2312" w:hAnsi="仿宋_GB2312" w:cs="仿宋_GB2312" w:eastAsia="仿宋_GB2312"/>
                <w:sz w:val="28"/>
              </w:rPr>
              <w:t>具体服务内容如下：</w:t>
            </w:r>
          </w:p>
          <w:p>
            <w:pPr>
              <w:pStyle w:val="null3"/>
              <w:ind w:firstLine="560"/>
              <w:jc w:val="both"/>
            </w:pPr>
            <w:r>
              <w:rPr>
                <w:rFonts w:ascii="仿宋_GB2312" w:hAnsi="仿宋_GB2312" w:cs="仿宋_GB2312" w:eastAsia="仿宋_GB2312"/>
                <w:sz w:val="28"/>
              </w:rPr>
              <w:t>数据库巡检及诊断：提供数据库各方面巡检，向用户输出存在的问题及隐患，提供相应的解决方法并协助用户落实；</w:t>
            </w:r>
          </w:p>
          <w:p>
            <w:pPr>
              <w:pStyle w:val="null3"/>
              <w:ind w:firstLine="560"/>
              <w:jc w:val="both"/>
            </w:pPr>
            <w:r>
              <w:rPr>
                <w:rFonts w:ascii="仿宋_GB2312" w:hAnsi="仿宋_GB2312" w:cs="仿宋_GB2312" w:eastAsia="仿宋_GB2312"/>
                <w:sz w:val="28"/>
              </w:rPr>
              <w:t>现场数据库性能优化：优化数据库配置、索引、阻塞、慢语句、慢存储过程进行，最大范围提升数据库性能；</w:t>
            </w:r>
          </w:p>
          <w:p>
            <w:pPr>
              <w:pStyle w:val="null3"/>
              <w:ind w:firstLine="560"/>
              <w:jc w:val="both"/>
            </w:pPr>
            <w:r>
              <w:rPr>
                <w:rFonts w:ascii="仿宋_GB2312" w:hAnsi="仿宋_GB2312" w:cs="仿宋_GB2312" w:eastAsia="仿宋_GB2312"/>
                <w:sz w:val="28"/>
              </w:rPr>
              <w:t>SQL代码分析：分析应用程序代码，发现待优化项，并提供最佳实践方法；</w:t>
            </w:r>
          </w:p>
          <w:p>
            <w:pPr>
              <w:pStyle w:val="null3"/>
              <w:ind w:firstLine="560"/>
              <w:jc w:val="both"/>
            </w:pPr>
            <w:r>
              <w:rPr>
                <w:rFonts w:ascii="仿宋_GB2312" w:hAnsi="仿宋_GB2312" w:cs="仿宋_GB2312" w:eastAsia="仿宋_GB2312"/>
                <w:sz w:val="28"/>
              </w:rPr>
              <w:t>硬件评估：评估数据库的硬件承载能力，分析硬件瓶颈所在；</w:t>
            </w:r>
          </w:p>
          <w:p>
            <w:pPr>
              <w:pStyle w:val="null3"/>
              <w:ind w:firstLine="560"/>
              <w:jc w:val="both"/>
            </w:pPr>
            <w:r>
              <w:rPr>
                <w:rFonts w:ascii="仿宋_GB2312" w:hAnsi="仿宋_GB2312" w:cs="仿宋_GB2312" w:eastAsia="仿宋_GB2312"/>
                <w:sz w:val="28"/>
              </w:rPr>
              <w:t>专家技术支持：针对业务数据库提供</w:t>
            </w:r>
            <w:r>
              <w:rPr>
                <w:rFonts w:ascii="仿宋_GB2312" w:hAnsi="仿宋_GB2312" w:cs="仿宋_GB2312" w:eastAsia="仿宋_GB2312"/>
                <w:sz w:val="28"/>
              </w:rPr>
              <w:t>7*24小时技术支持，第一时间帮助用户排查数据库类问题；</w:t>
            </w:r>
          </w:p>
          <w:p>
            <w:pPr>
              <w:pStyle w:val="null3"/>
              <w:ind w:firstLine="560"/>
              <w:jc w:val="both"/>
            </w:pPr>
            <w:r>
              <w:rPr>
                <w:rFonts w:ascii="仿宋_GB2312" w:hAnsi="仿宋_GB2312" w:cs="仿宋_GB2312" w:eastAsia="仿宋_GB2312"/>
                <w:sz w:val="28"/>
              </w:rPr>
              <w:t>数据库知识培训：向客户提供数据库技术的全面培训。</w:t>
            </w:r>
          </w:p>
          <w:p>
            <w:pPr>
              <w:pStyle w:val="null3"/>
              <w:spacing w:before="255" w:after="255"/>
              <w:jc w:val="both"/>
              <w:outlineLvl w:val="2"/>
            </w:pPr>
            <w:r>
              <w:rPr>
                <w:rFonts w:ascii="仿宋_GB2312" w:hAnsi="仿宋_GB2312" w:cs="仿宋_GB2312" w:eastAsia="仿宋_GB2312"/>
                <w:sz w:val="28"/>
                <w:b/>
              </w:rPr>
              <w:t>6.1.2</w:t>
            </w:r>
            <w:r>
              <w:rPr>
                <w:rFonts w:ascii="仿宋_GB2312" w:hAnsi="仿宋_GB2312" w:cs="仿宋_GB2312" w:eastAsia="仿宋_GB2312"/>
                <w:sz w:val="28"/>
                <w:b/>
              </w:rPr>
              <w:t>服务人员和方式</w:t>
            </w:r>
          </w:p>
          <w:p>
            <w:pPr>
              <w:pStyle w:val="null3"/>
              <w:jc w:val="both"/>
            </w:pPr>
            <w:r>
              <w:rPr>
                <w:rFonts w:ascii="仿宋_GB2312" w:hAnsi="仿宋_GB2312" w:cs="仿宋_GB2312" w:eastAsia="仿宋_GB2312"/>
                <w:sz w:val="28"/>
              </w:rPr>
              <w:t>监控管理中心端数据库运维技术专家现场服务方式。</w:t>
            </w:r>
          </w:p>
          <w:p>
            <w:pPr>
              <w:pStyle w:val="null3"/>
              <w:spacing w:before="255" w:after="255"/>
              <w:jc w:val="both"/>
              <w:outlineLvl w:val="2"/>
            </w:pPr>
            <w:r>
              <w:rPr>
                <w:rFonts w:ascii="仿宋_GB2312" w:hAnsi="仿宋_GB2312" w:cs="仿宋_GB2312" w:eastAsia="仿宋_GB2312"/>
                <w:sz w:val="28"/>
                <w:b/>
              </w:rPr>
              <w:t>6.1.3</w:t>
            </w:r>
            <w:r>
              <w:rPr>
                <w:rFonts w:ascii="仿宋_GB2312" w:hAnsi="仿宋_GB2312" w:cs="仿宋_GB2312" w:eastAsia="仿宋_GB2312"/>
                <w:sz w:val="28"/>
                <w:b/>
              </w:rPr>
              <w:t>服务标准</w:t>
            </w:r>
          </w:p>
          <w:p>
            <w:pPr>
              <w:pStyle w:val="null3"/>
              <w:ind w:firstLine="560"/>
              <w:jc w:val="both"/>
            </w:pPr>
            <w:r>
              <w:rPr>
                <w:rFonts w:ascii="仿宋_GB2312" w:hAnsi="仿宋_GB2312" w:cs="仿宋_GB2312" w:eastAsia="仿宋_GB2312"/>
                <w:sz w:val="28"/>
              </w:rPr>
              <w:t>服务期内至少完成二次数据库性能优化，主要包含现场数据库巡检及诊断、现场数据库性能优化、</w:t>
            </w:r>
            <w:r>
              <w:rPr>
                <w:rFonts w:ascii="仿宋_GB2312" w:hAnsi="仿宋_GB2312" w:cs="仿宋_GB2312" w:eastAsia="仿宋_GB2312"/>
                <w:sz w:val="28"/>
              </w:rPr>
              <w:t>SQL代码分析、硬件评估、专家技术支持、数据库知识培训等具体服务小项。现场数据库性能优化服务工作需通过《现场巡检报告》呈现。</w:t>
            </w:r>
          </w:p>
          <w:p>
            <w:pPr>
              <w:pStyle w:val="null3"/>
              <w:ind w:firstLine="480"/>
              <w:jc w:val="both"/>
              <w:outlineLvl w:val="1"/>
            </w:pPr>
            <w:r>
              <w:rPr>
                <w:rFonts w:ascii="仿宋_GB2312" w:hAnsi="仿宋_GB2312" w:cs="仿宋_GB2312" w:eastAsia="仿宋_GB2312"/>
                <w:sz w:val="28"/>
                <w:b/>
              </w:rPr>
              <w:t>6.2</w:t>
            </w:r>
            <w:r>
              <w:rPr>
                <w:rFonts w:ascii="仿宋_GB2312" w:hAnsi="仿宋_GB2312" w:cs="仿宋_GB2312" w:eastAsia="仿宋_GB2312"/>
                <w:sz w:val="28"/>
                <w:b/>
              </w:rPr>
              <w:t>数据迁移服务</w:t>
            </w:r>
          </w:p>
          <w:p>
            <w:pPr>
              <w:pStyle w:val="null3"/>
              <w:spacing w:before="255" w:after="255"/>
              <w:jc w:val="both"/>
              <w:outlineLvl w:val="2"/>
            </w:pPr>
            <w:r>
              <w:rPr>
                <w:rFonts w:ascii="仿宋_GB2312" w:hAnsi="仿宋_GB2312" w:cs="仿宋_GB2312" w:eastAsia="仿宋_GB2312"/>
                <w:sz w:val="28"/>
                <w:b/>
              </w:rPr>
              <w:t>6.2.1</w:t>
            </w:r>
            <w:r>
              <w:rPr>
                <w:rFonts w:ascii="仿宋_GB2312" w:hAnsi="仿宋_GB2312" w:cs="仿宋_GB2312" w:eastAsia="仿宋_GB2312"/>
                <w:sz w:val="28"/>
                <w:b/>
              </w:rPr>
              <w:t>服务定义</w:t>
            </w:r>
          </w:p>
          <w:p>
            <w:pPr>
              <w:pStyle w:val="null3"/>
              <w:ind w:firstLine="560"/>
              <w:jc w:val="both"/>
            </w:pPr>
            <w:r>
              <w:rPr>
                <w:rFonts w:ascii="仿宋_GB2312" w:hAnsi="仿宋_GB2312" w:cs="仿宋_GB2312" w:eastAsia="仿宋_GB2312"/>
                <w:sz w:val="28"/>
              </w:rPr>
              <w:t>此项服务是指完成核心业务系统生产数据库维护，将生产数据库中的历史数据迁移至历史数据库中所提供的服务，保障医院数据库运行效率，降低历史数据量过大所带来的性能影响。</w:t>
            </w:r>
          </w:p>
          <w:p>
            <w:pPr>
              <w:pStyle w:val="null3"/>
              <w:spacing w:before="165" w:after="255"/>
              <w:jc w:val="both"/>
              <w:outlineLvl w:val="2"/>
            </w:pPr>
            <w:r>
              <w:rPr>
                <w:rFonts w:ascii="仿宋_GB2312" w:hAnsi="仿宋_GB2312" w:cs="仿宋_GB2312" w:eastAsia="仿宋_GB2312"/>
                <w:sz w:val="28"/>
                <w:b/>
              </w:rPr>
              <w:t>6.2.2</w:t>
            </w:r>
            <w:r>
              <w:rPr>
                <w:rFonts w:ascii="仿宋_GB2312" w:hAnsi="仿宋_GB2312" w:cs="仿宋_GB2312" w:eastAsia="仿宋_GB2312"/>
                <w:sz w:val="28"/>
                <w:b/>
              </w:rPr>
              <w:t>应急演练支持服务</w:t>
            </w:r>
          </w:p>
          <w:p>
            <w:pPr>
              <w:pStyle w:val="null3"/>
              <w:ind w:firstLine="560"/>
              <w:jc w:val="both"/>
            </w:pPr>
            <w:r>
              <w:rPr>
                <w:rFonts w:ascii="仿宋_GB2312" w:hAnsi="仿宋_GB2312" w:cs="仿宋_GB2312" w:eastAsia="仿宋_GB2312"/>
                <w:sz w:val="28"/>
                <w:color w:val="000000"/>
              </w:rPr>
              <w:t>此项服务是指服务人员配合医院完成当年应急演练工作提供的服务，协助客户提高应急响应效率，降低应急事件所带来的影响。</w:t>
            </w:r>
          </w:p>
          <w:p>
            <w:pPr>
              <w:pStyle w:val="null3"/>
              <w:ind w:firstLine="560"/>
              <w:jc w:val="both"/>
            </w:pPr>
            <w:r>
              <w:rPr>
                <w:rFonts w:ascii="仿宋_GB2312" w:hAnsi="仿宋_GB2312" w:cs="仿宋_GB2312" w:eastAsia="仿宋_GB2312"/>
                <w:sz w:val="28"/>
                <w:color w:val="000000"/>
              </w:rPr>
              <w:t>具体服务内容如下：</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1）协助医院优化应急演练方案：服务人员协助客户制订各类场景的信息系统应急事件演练方案；</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2）参与应急事件演练：配合客户参与实际场景的信息系统应急事件演练；</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3）参与演练复盘改进：在实际应急演练结束后展开复盘，协助客户完善应急演练方案。</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具有三年以上三甲医院HIS实施经验，沟通能力强。投标人须向医院提供至少二名实施人员进行筛选。</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3年（每年考核合格后续签）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工作完成后，由甲方进行评审和验收，评审和验收标准应符合相应主管部门的审查要求，评审达不到要求的，继续完善至符合要求。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合同签署后按年付款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)，供应商应按照汉中市财政局《关于全面推行政府采购供应商基本资格条件承诺制的通知》（汉采办采管〔2024〕20号）文件要求，须提供加盖公章的《汉中市政府采购供应商资格承诺函》</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响应文件封面 特殊资格要求.docx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供应商针对本项目提出具体的服务方案，方案内容包含：①服务内容分析及理解；②维保服务流程设计；③总体服务计划；④重难点分析；⑤项目实施安全管理措施；⑥信息保密措施。 方案各部分内容全面详细、阐述条理清晰详尽、符合本项目采购需求得14-20分，方案各部分内容有缺陷、阐述条理不清晰详尽、较符合本项目采购需求得7-14分，内容描述过于简单没有关键点；条理不清晰；与项目内容不匹配、非专门针对本项目或不适用本项目特性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供应商针对本项目提出具体的服务保障措施，内容包含：①项目管理方案；②项目进度控制方案；③质量控制方案；④质量保证措施。 方案各部分内容全面详细、阐述条理清晰详尽、符合本项目采购需求得14-20分，方案各部分内容有缺陷、阐述条理不清晰详尽、较符合本项目采购需求得7-14分，内容描述过于简单没有关键点；条理不清晰；与项目内容不匹配、非专门针对本项目或不适用本项目特性得0-7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提出具体的应急预案，内容包含：①特殊紧急情况时限响应方案；②有特殊的应急服务方案及处理补救措施。方案各部分内容全面详细、阐述条理清晰详尽、符合本项目采购需求得7-10分，方案各部分内容有缺陷、阐述条理不清晰详尽、较符合本项目采购需求得4-7分，内容描述过于简单没有关键点；条理不清晰；与项目内容不匹配、非专门针对本项目或不适用本项目特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供应商针对本项目提供人员配置计划，内容包含：①日常运维人员的配备计划；②岗位分工、职责；③项目负责人工作经验及专业水平的证明资料（包括但不限于项目负责人学历证、身份证、相关证书等）。 人员配置全面，对评审内容中的各项要求有详细描述得7-10分， 人员配置简单，对评审内容中的各项要求描述简单得4-7分， 人员配置不符合本项目需求，对评审内容中的各项要求描述笼统无重点得0-4分；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预防性保养方案</w:t>
            </w:r>
          </w:p>
        </w:tc>
        <w:tc>
          <w:tcPr>
            <w:tcW w:type="dxa" w:w="2492"/>
          </w:tcPr>
          <w:p>
            <w:pPr>
              <w:pStyle w:val="null3"/>
            </w:pPr>
            <w:r>
              <w:rPr>
                <w:rFonts w:ascii="仿宋_GB2312" w:hAnsi="仿宋_GB2312" w:cs="仿宋_GB2312" w:eastAsia="仿宋_GB2312"/>
              </w:rPr>
              <w:t>根据供应商针对本项目提供的预防性保养方案进行综合比较； ①预防性保养方案详细、全面、合理、措施可行性强、思路清晰，得7-10分； ②预防性保养方案基本合理、较全面、措施可行性较强，得4-7分； ③预防性保养方案不全面、不合理，得0-4分；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零配件供应</w:t>
            </w:r>
          </w:p>
        </w:tc>
        <w:tc>
          <w:tcPr>
            <w:tcW w:type="dxa" w:w="2492"/>
          </w:tcPr>
          <w:p>
            <w:pPr>
              <w:pStyle w:val="null3"/>
            </w:pPr>
            <w:r>
              <w:rPr>
                <w:rFonts w:ascii="仿宋_GB2312" w:hAnsi="仿宋_GB2312" w:cs="仿宋_GB2312" w:eastAsia="仿宋_GB2312"/>
              </w:rPr>
              <w:t>供应商针对本项目更换的配件、备件为原厂、全新、测试合格。零配件供应充足，来源渠道正规，根据情况计1-5分。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以合同的形式提供投标人2022年1月1日至今类似业绩，每提供一份得1分，满分5分；提供完整合同复印件。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售后服务方案及培训计划</w:t>
            </w:r>
          </w:p>
        </w:tc>
        <w:tc>
          <w:tcPr>
            <w:tcW w:type="dxa" w:w="2492"/>
          </w:tcPr>
          <w:p>
            <w:pPr>
              <w:pStyle w:val="null3"/>
            </w:pPr>
            <w:r>
              <w:rPr>
                <w:rFonts w:ascii="仿宋_GB2312" w:hAnsi="仿宋_GB2312" w:cs="仿宋_GB2312" w:eastAsia="仿宋_GB2312"/>
              </w:rPr>
              <w:t>供应商针对本项目提出具体的售后及培训方案，内容包含：①售后服务机构及人员配置方案；②技术指导及培训方案。 方案各部分内容全面详细、阐述条理清晰详尽、符合本项目采购需求得7-10分，方案各部分内容有缺陷、阐述条理不清晰详尽、较符合本项目采购需求得4-7分，内容描述过于简单没有关键点；条理不清晰；与项目内容不匹配、非专门针对本项目或不适用本项目特性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价格分采用低价优先法计算，即满足招标文件要求且投标价格最低的投标报价为评审基准价，其价格分为满分。其他投标人的价格分统一按照下列公式计算：投标报价得分=（评审基准价/投标报价）×价格权值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