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版本号：ZJHZ-ZC25003420250810003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“一站式”学生社区公寓文化设计建设服务项目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ZJHZ-ZC250034</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“一站式”学生社区公寓文化设计建设服务项目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ZJHZ-ZC250034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“一站式”学生社区公寓文化设计建设服务项目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职业技术学院围绕“一站式”社区建设目标，突出“家国情怀、青春风采、社区共享”三大主题，结合学院特色和专业特点，打造集“思想引领、文化浸润、生活服务”于一体的公寓文化墙，营造温馨、和谐、向上的社区氛围。分层设计文化墙内容，强化价值引领；分模块呈现思政引领、校史传承、学风建设、心理健康等内容；采用“学生共创”模式，征集书画、摄影等作品，增强参与感；结合公告栏、荣誉榜、微心愿墙等实用功能，提升服务属性。通过一楼一品文化墙建设，打造有温度、有深度的育人阵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采购包1（“一站式”学生社区公寓文化设计建设服务项目）：属于专门面向中小企业采购。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直接参加投标的，须出具法人身份证(附法定代表人身份证复印件);法定代表人授权代表参加投标的，须出具法定代表人授权书及授权代表身份证(附法定代表人身份证复印件及被授权人身份证复印件)。：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采购包1：392,040.00元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满足采购人工作需求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职业技术学院围绕“一站式”社区建设目标，突出“家国情怀、青春风采、社区共享”三大主题，结合学院特色和专业特点，打造集“思想引领、文化浸润、生活服务”于一体的公寓文化墙，营造温馨、和谐、向上的社区氛围。分层设计文化墙内容，强化价值引领；分模块呈现思政引领、校史传承、学风建设、心理健康等内容；采用“学生共创”模式，征集书画、摄影等作品，增强参与感；结合公告栏、荣誉榜、微心愿墙等实用功能，提升服务属性。通过一楼一品文化墙建设，打造有温度、有深度的育人阵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392,040.00</w:t>
      </w:r>
    </w:p>
    <w:p>
      <w:pPr>
        <w:pStyle w:val="null3"/>
      </w:pPr>
      <w:r>
        <w:rPr>
          <w:rFonts w:ascii="仿宋_GB2312" w:hAnsi="仿宋_GB2312" w:cs="仿宋_GB2312" w:eastAsia="仿宋_GB2312"/>
        </w:rPr>
        <w:t>采购包最高限价（元）: 392,040.00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392,040.00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0"/>
              <w:gridCol w:w="419"/>
              <w:gridCol w:w="1487"/>
              <w:gridCol w:w="219"/>
              <w:gridCol w:w="211"/>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技术指标</w:t>
                  </w:r>
                  <w:r>
                    <w:rPr>
                      <w:rFonts w:ascii="仿宋_GB2312" w:hAnsi="仿宋_GB2312" w:cs="仿宋_GB2312" w:eastAsia="仿宋_GB2312"/>
                      <w:sz w:val="21"/>
                      <w:b/>
                    </w:rPr>
                    <w:t>/服务内容</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学生公寓楼入口（</w:t>
                  </w:r>
                  <w:r>
                    <w:rPr>
                      <w:rFonts w:ascii="仿宋_GB2312" w:hAnsi="仿宋_GB2312" w:cs="仿宋_GB2312" w:eastAsia="仿宋_GB2312"/>
                      <w:sz w:val="21"/>
                      <w:b/>
                    </w:rPr>
                    <w:t>1～6号楼）</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1.公寓楼楼号牌：</w:t>
                  </w:r>
                </w:p>
                <w:p>
                  <w:pPr>
                    <w:pStyle w:val="null3"/>
                    <w:jc w:val="both"/>
                  </w:pPr>
                  <w:r>
                    <w:rPr>
                      <w:rFonts w:ascii="仿宋_GB2312" w:hAnsi="仿宋_GB2312" w:cs="仿宋_GB2312" w:eastAsia="仿宋_GB2312"/>
                      <w:sz w:val="21"/>
                    </w:rPr>
                    <w:t>①楼号牌规格：1.42</w:t>
                  </w:r>
                  <w:r>
                    <w:rPr>
                      <w:rFonts w:ascii="仿宋_GB2312" w:hAnsi="仿宋_GB2312" w:cs="仿宋_GB2312" w:eastAsia="仿宋_GB2312"/>
                      <w:sz w:val="21"/>
                    </w:rPr>
                    <w:t>m</w:t>
                  </w:r>
                  <w:r>
                    <w:rPr>
                      <w:rFonts w:ascii="仿宋_GB2312" w:hAnsi="仿宋_GB2312" w:cs="仿宋_GB2312" w:eastAsia="仿宋_GB2312"/>
                      <w:sz w:val="21"/>
                    </w:rPr>
                    <w:t>（长）</w:t>
                  </w:r>
                  <w:r>
                    <w:rPr>
                      <w:rFonts w:ascii="仿宋_GB2312" w:hAnsi="仿宋_GB2312" w:cs="仿宋_GB2312" w:eastAsia="仿宋_GB2312"/>
                      <w:sz w:val="21"/>
                    </w:rPr>
                    <w:t>x</w:t>
                  </w:r>
                  <w:r>
                    <w:rPr>
                      <w:rFonts w:ascii="仿宋_GB2312" w:hAnsi="仿宋_GB2312" w:cs="仿宋_GB2312" w:eastAsia="仿宋_GB2312"/>
                      <w:sz w:val="21"/>
                    </w:rPr>
                    <w:t>0.76m(高）尺寸范围内/要求：新中式风格（内容含楼号、公寓楼命名名称等信息）/</w:t>
                  </w:r>
                  <w:r>
                    <w:rPr>
                      <w:rFonts w:ascii="仿宋_GB2312" w:hAnsi="仿宋_GB2312" w:cs="仿宋_GB2312" w:eastAsia="仿宋_GB2312"/>
                      <w:sz w:val="21"/>
                    </w:rPr>
                    <w:t>材质：</w:t>
                  </w:r>
                  <w:r>
                    <w:rPr>
                      <w:rFonts w:ascii="仿宋_GB2312" w:hAnsi="仿宋_GB2312" w:cs="仿宋_GB2312" w:eastAsia="仿宋_GB2312"/>
                      <w:sz w:val="21"/>
                    </w:rPr>
                    <w:t>vn涂层内容丝网印刷（每个宿舍公寓一套）。</w:t>
                  </w:r>
                </w:p>
                <w:p>
                  <w:pPr>
                    <w:pStyle w:val="null3"/>
                    <w:jc w:val="both"/>
                  </w:pPr>
                  <w:r>
                    <w:rPr>
                      <w:rFonts w:ascii="仿宋_GB2312" w:hAnsi="仿宋_GB2312" w:cs="仿宋_GB2312" w:eastAsia="仿宋_GB2312"/>
                      <w:sz w:val="21"/>
                    </w:rPr>
                    <w:t>②安装方式：根据校方要求固定公寓楼进门合理位置进行安装固定。</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6套</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2.公寓楼进门口标语牌：</w:t>
                  </w:r>
                </w:p>
                <w:p>
                  <w:pPr>
                    <w:pStyle w:val="null3"/>
                    <w:jc w:val="both"/>
                  </w:pPr>
                  <w:r>
                    <w:rPr>
                      <w:rFonts w:ascii="仿宋_GB2312" w:hAnsi="仿宋_GB2312" w:cs="仿宋_GB2312" w:eastAsia="仿宋_GB2312"/>
                      <w:sz w:val="21"/>
                    </w:rPr>
                    <w:t>①规格：2m（长）x0.25m(宽）尺寸范围内</w:t>
                  </w:r>
                </w:p>
                <w:p>
                  <w:pPr>
                    <w:pStyle w:val="null3"/>
                    <w:jc w:val="both"/>
                  </w:pPr>
                  <w:r>
                    <w:rPr>
                      <w:rFonts w:ascii="仿宋_GB2312" w:hAnsi="仿宋_GB2312" w:cs="仿宋_GB2312" w:eastAsia="仿宋_GB2312"/>
                      <w:sz w:val="21"/>
                    </w:rPr>
                    <w:t>材质要求：防晒、不变形、长期使用、维护方便方便更换内容。</w:t>
                  </w:r>
                </w:p>
                <w:p>
                  <w:pPr>
                    <w:pStyle w:val="null3"/>
                    <w:jc w:val="both"/>
                  </w:pPr>
                  <w:r>
                    <w:rPr>
                      <w:rFonts w:ascii="仿宋_GB2312" w:hAnsi="仿宋_GB2312" w:cs="仿宋_GB2312" w:eastAsia="仿宋_GB2312"/>
                      <w:sz w:val="21"/>
                    </w:rPr>
                    <w:t>②安装方式：根据校方要求固定公寓楼进门合理位置进行安装固定。</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2对</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1号公寓、5号公寓各一对</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学生公寓</w:t>
                  </w:r>
                  <w:r>
                    <w:rPr>
                      <w:rFonts w:ascii="仿宋_GB2312" w:hAnsi="仿宋_GB2312" w:cs="仿宋_GB2312" w:eastAsia="仿宋_GB2312"/>
                      <w:sz w:val="21"/>
                      <w:b/>
                    </w:rPr>
                    <w:t>1楼文化墙（1～6号楼）</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学生公寓</w:t>
                  </w:r>
                  <w:r>
                    <w:rPr>
                      <w:rFonts w:ascii="仿宋_GB2312" w:hAnsi="仿宋_GB2312" w:cs="仿宋_GB2312" w:eastAsia="仿宋_GB2312"/>
                      <w:sz w:val="21"/>
                      <w:b/>
                    </w:rPr>
                    <w:t>1楼文化墙</w:t>
                  </w:r>
                  <w:r>
                    <w:rPr>
                      <w:rFonts w:ascii="仿宋_GB2312" w:hAnsi="仿宋_GB2312" w:cs="仿宋_GB2312" w:eastAsia="仿宋_GB2312"/>
                      <w:sz w:val="21"/>
                      <w:b/>
                    </w:rPr>
                    <w:t>：</w:t>
                  </w:r>
                  <w:r>
                    <w:rPr>
                      <w:rFonts w:ascii="仿宋_GB2312" w:hAnsi="仿宋_GB2312" w:cs="仿宋_GB2312" w:eastAsia="仿宋_GB2312"/>
                      <w:sz w:val="21"/>
                    </w:rPr>
                    <w:t>学生公寓楼</w:t>
                  </w:r>
                  <w:r>
                    <w:rPr>
                      <w:rFonts w:ascii="仿宋_GB2312" w:hAnsi="仿宋_GB2312" w:cs="仿宋_GB2312" w:eastAsia="仿宋_GB2312"/>
                      <w:sz w:val="21"/>
                    </w:rPr>
                    <w:t>1楼过道根据楼道蓝色线以上吊顶以下左右两侧位置空隙白墙设计制作</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rPr>
                    <w:t>规格尺寸：</w:t>
                  </w:r>
                  <w:r>
                    <w:rPr>
                      <w:rFonts w:ascii="仿宋_GB2312" w:hAnsi="仿宋_GB2312" w:cs="仿宋_GB2312" w:eastAsia="仿宋_GB2312"/>
                      <w:sz w:val="21"/>
                    </w:rPr>
                    <w:t>94.6平方米/材质：亚克力PVC文化标示牌/等共计约大于等于32处。</w:t>
                  </w:r>
                </w:p>
                <w:p>
                  <w:pPr>
                    <w:pStyle w:val="null3"/>
                    <w:spacing w:after="120"/>
                    <w:jc w:val="both"/>
                  </w:pPr>
                  <w:r>
                    <w:rPr>
                      <w:rFonts w:ascii="仿宋_GB2312" w:hAnsi="仿宋_GB2312" w:cs="仿宋_GB2312" w:eastAsia="仿宋_GB2312"/>
                      <w:sz w:val="21"/>
                    </w:rPr>
                    <w:t>（注：其尺寸为楼道全长尺寸，需避开门、楼梯道、消防以及电箱开关等。需合理规划设计同校方配合确稿后方可施工）</w:t>
                  </w:r>
                </w:p>
                <w:p>
                  <w:pPr>
                    <w:pStyle w:val="null3"/>
                    <w:spacing w:after="120"/>
                    <w:jc w:val="both"/>
                  </w:pPr>
                  <w:r>
                    <w:rPr>
                      <w:rFonts w:ascii="仿宋_GB2312" w:hAnsi="仿宋_GB2312" w:cs="仿宋_GB2312" w:eastAsia="仿宋_GB2312"/>
                      <w:sz w:val="21"/>
                    </w:rPr>
                    <w:t>其内容需符合</w:t>
                  </w:r>
                  <w:r>
                    <w:rPr>
                      <w:rFonts w:ascii="仿宋_GB2312" w:hAnsi="仿宋_GB2312" w:cs="仿宋_GB2312" w:eastAsia="仿宋_GB2312"/>
                      <w:sz w:val="21"/>
                    </w:rPr>
                    <w:t>“高校“一站式”学生社区综合管理模式建设”内容</w:t>
                  </w:r>
                </w:p>
                <w:p>
                  <w:pPr>
                    <w:pStyle w:val="null3"/>
                    <w:spacing w:after="120"/>
                    <w:jc w:val="both"/>
                  </w:pPr>
                  <w:r>
                    <w:rPr>
                      <w:rFonts w:ascii="仿宋_GB2312" w:hAnsi="仿宋_GB2312" w:cs="仿宋_GB2312" w:eastAsia="仿宋_GB2312"/>
                      <w:sz w:val="21"/>
                      <w:b/>
                    </w:rPr>
                    <w:t>3.</w:t>
                  </w:r>
                  <w:r>
                    <w:rPr>
                      <w:rFonts w:ascii="仿宋_GB2312" w:hAnsi="仿宋_GB2312" w:cs="仿宋_GB2312" w:eastAsia="仿宋_GB2312"/>
                      <w:sz w:val="21"/>
                    </w:rPr>
                    <w:t>其具体内容含：党建墙、各公寓楼学生专业文化板块、文明宿舍板块、风采展示板块、学生互动板块、优秀作品展示板块。</w:t>
                  </w:r>
                </w:p>
                <w:p>
                  <w:pPr>
                    <w:pStyle w:val="null3"/>
                    <w:jc w:val="both"/>
                  </w:pPr>
                  <w:r>
                    <w:rPr>
                      <w:rFonts w:ascii="仿宋_GB2312" w:hAnsi="仿宋_GB2312" w:cs="仿宋_GB2312" w:eastAsia="仿宋_GB2312"/>
                      <w:sz w:val="21"/>
                    </w:rPr>
                    <w:t>安装方式：根据施工图纸及校方要求固定楼道两侧可利用空白墙面上。</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rPr>
                    <w:t>每栋公寓楼</w:t>
                  </w:r>
                  <w:r>
                    <w:rPr>
                      <w:rFonts w:ascii="仿宋_GB2312" w:hAnsi="仿宋_GB2312" w:cs="仿宋_GB2312" w:eastAsia="仿宋_GB2312"/>
                      <w:sz w:val="21"/>
                    </w:rPr>
                    <w:t>1层门厅安装电子信息公示栏（支持蓝牙、无线网络，手机APP控制操作，分辨率1080p、自带外音声卡、电源供电）</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6套</w:t>
                  </w:r>
                </w:p>
                <w:p>
                  <w:pPr>
                    <w:pStyle w:val="null3"/>
                    <w:spacing w:after="120"/>
                    <w:jc w:val="both"/>
                  </w:pPr>
                  <w:r>
                    <w:rPr>
                      <w:rFonts w:ascii="仿宋_GB2312" w:hAnsi="仿宋_GB2312" w:cs="仿宋_GB2312" w:eastAsia="仿宋_GB2312"/>
                      <w:sz w:val="15"/>
                    </w:rPr>
                    <w:t>（每栋楼一套）</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根据不同专业特色一楼一品设计文化墙</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学生公寓</w:t>
                  </w:r>
                  <w:r>
                    <w:rPr>
                      <w:rFonts w:ascii="仿宋_GB2312" w:hAnsi="仿宋_GB2312" w:cs="仿宋_GB2312" w:eastAsia="仿宋_GB2312"/>
                      <w:sz w:val="21"/>
                      <w:b/>
                    </w:rPr>
                    <w:t>2～6层文化建设标语牌（1～6号楼）</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文化建设标语牌</w:t>
                  </w:r>
                  <w:r>
                    <w:rPr>
                      <w:rFonts w:ascii="仿宋_GB2312" w:hAnsi="仿宋_GB2312" w:cs="仿宋_GB2312" w:eastAsia="仿宋_GB2312"/>
                      <w:sz w:val="21"/>
                      <w:b/>
                    </w:rPr>
                    <w:t>:</w:t>
                  </w:r>
                  <w:r>
                    <w:rPr>
                      <w:rFonts w:ascii="仿宋_GB2312" w:hAnsi="仿宋_GB2312" w:cs="仿宋_GB2312" w:eastAsia="仿宋_GB2312"/>
                      <w:sz w:val="21"/>
                    </w:rPr>
                    <w:t>学生</w:t>
                  </w:r>
                  <w:r>
                    <w:rPr>
                      <w:rFonts w:ascii="仿宋_GB2312" w:hAnsi="仿宋_GB2312" w:cs="仿宋_GB2312" w:eastAsia="仿宋_GB2312"/>
                      <w:sz w:val="21"/>
                    </w:rPr>
                    <w:t>公寓楼</w:t>
                  </w:r>
                  <w:r>
                    <w:rPr>
                      <w:rFonts w:ascii="仿宋_GB2312" w:hAnsi="仿宋_GB2312" w:cs="仿宋_GB2312" w:eastAsia="仿宋_GB2312"/>
                      <w:sz w:val="21"/>
                    </w:rPr>
                    <w:t>2至6层过道根据楼道蓝色线以上吊顶以下左右两侧位置空隙白墙设计制作</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rPr>
                    <w:t>①规格尺寸：每栋学生公寓60平方米/根据每栋楼相关专业设计符合相关专业的标语牌/材质：PVC、亚克力均可（pvc厚度不得低于1cm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②安装方式：根据施工图纸及校方要求间隔固定安装。</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450处</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每栋</w:t>
                  </w:r>
                  <w:r>
                    <w:rPr>
                      <w:rFonts w:ascii="仿宋_GB2312" w:hAnsi="仿宋_GB2312" w:cs="仿宋_GB2312" w:eastAsia="仿宋_GB2312"/>
                      <w:sz w:val="18"/>
                    </w:rPr>
                    <w:t>2～6楼（每栋楼75处）</w:t>
                  </w:r>
                </w:p>
                <w:p>
                  <w:pPr>
                    <w:pStyle w:val="null3"/>
                    <w:jc w:val="center"/>
                  </w:pPr>
                  <w:r>
                    <w:rPr>
                      <w:rFonts w:ascii="仿宋_GB2312" w:hAnsi="仿宋_GB2312" w:cs="仿宋_GB2312" w:eastAsia="仿宋_GB2312"/>
                      <w:sz w:val="18"/>
                    </w:rPr>
                    <w:t>（每层楼</w:t>
                  </w:r>
                  <w:r>
                    <w:rPr>
                      <w:rFonts w:ascii="仿宋_GB2312" w:hAnsi="仿宋_GB2312" w:cs="仿宋_GB2312" w:eastAsia="仿宋_GB2312"/>
                      <w:sz w:val="18"/>
                    </w:rPr>
                    <w:t>15处</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合同签订后21日历天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符合相关标准要求并通过采购人验收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合同签订后，服务方案经学校审核确认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完成一站式学生宿舍文化设计建设全部现场施工及基础布置工作，经学校初步验收合格后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完成所有配套文化元素安装、整体效果优化，经学校最终验收通过并交付使用后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落实政府采购政策需满足的资格要求： （1）《国务院办公厅关于建立政府强制采购节能产品制度的通知》（国办发〔2007〕51号）； （2）《财政部 司法部关于政府采购支持监狱企业发展有关问题的通知》（财库〔2014〕68号）； （3）《财政部、民政部、中国残疾人联合会关于促进残疾人就业政府采购政策的通知》（财库〔2017〕141号）；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（7）《陕西省财政厅关于印发&lt;陕西省中小企业政府采购信用融资办法&gt;的通知》（陕财办采〔2018〕23 号； （8）陕西省财政厅《关于加快推进我省中小企业政府采购信用融资工作的通知》（陕财办采〔2020〕15号）； （9）陕西省财政厅《关于进一步加强政府绿色采购有关问题的通知》（陕财办采〔2021〕29号）； （10）《陕西省财政厅关于落实政府采购支持中小企业政策有关事项的通知》陕财办采函〔2022〕10号； （11）《关于进一步加大政府采购支持中小企业力度的通知》（财库〔2022〕19号； （12）《关于扩大政府采购支持绿色建材促进建筑品质提升政策实施范围的通知》财库〔2022〕35号； （13）《陕西省财政厅关于进一步落实政府采购支持中小企业相关政策的通知》陕财办采〔2023〕3号； （14）《陕西省财政厅关于进一步优化政府采购营商环境有关事项的通知》陕财办采〔2023〕4号； （15）其他需要落实的政府采购政策。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针对本项目专业技术方案进行审核，内容包括： ① 是否紧扣三大主题，对 “一站式” 建设目标理解准确； ② 6 栋楼 “一楼一品” 设计思路是否清晰，是否覆盖核心模块； ③ 具体建设内容设计是否符合参数要求，是否规避障碍物； ④ 是否符合高校及教育厅要求，指导性和可操作性是否强。 二、评分标准 完整性及描述质量（8 分）： 四项内容均有描述，得 8 分； 缺 1 项，得 5 分； 缺 2 项，得 3 分； 缺 3 项及以上，得 1 分。 主题契合度（6 分）： 完全紧扣主题、理解精准（如三大主题均有具体设计支撑），得 6 分； 基本契合、理解较准确（主题体现无明显偏差），得 4 分； 偏离主题、理解错误，得 1 分。 设计合规性（6 分）： 全部符合参数要求、规避障碍物（如材质、尺寸均达标，明确避开消防设施），得 6 分； 大部分符合（主要参数达标，少量细节待完善），得 4 分； 不符合（如核心参数不达标），得 1 分。 规范与操作性（5 分）： 完全符合要求、操作性强（有具体步骤和分工），得 5 分； 基本符合、操作性较强（有执行框架），得 3 分； 不符合要求、操作性差，得 1 分。 （无内容不得分）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针对供应商提供的服务质量保证措施进行综合评审，结合项目实际情况，内容包括： ① 实施过程质量控制：针对 6 栋楼文化建设（楼号牌、文化墙等），是否明确材质验收标准（如 PVC 厚度、uv涂层工艺）、安装精度要求（如规避消防设施、平整牢固）及现场监督机制； ② 进度衔接保障：是否结合 21 个日历天服务期，制定分楼栋施工衔接计划（如材料进场、交叉作业协调），避免延误影响教育厅检查； ③ 后期维护措施：是否针对学生共创内容更新、部件轻微损坏等情况，明确响应流程（如快速更换、现场修补），确保长期使用质量。 二、评分标准 实施过程质量控制（4 分）： 明确材质验收标准（如 PVC 厚度≥1公分、uv涂层耐磨损 保证3年）、安装精度要求（如距消防设施≥1.5 米、平整度误差≤2mm），且有具体现场监督机制（如每日巡检记录），得 4 分； 基本明确核心验收标准和安装要求，有监督机制框架（无具体记录要求），得 2.5 分； 验收标准模糊（如未说明材质参数）或无监督机制，得 0.5 分。 进度衔接保障（4 分）： 结合 21 个日历天，制定分楼栋施工计划（如 1-3 天 1# 楼材料进场、4-7 天安装，明确交叉作业协调方案），得 4 分； 有服务期内大致施工顺序，无具体分楼栋时间节点，得 2.5 分； 无分楼栋计划或服务期安排超出 21 天，得 0.5 分。 后期维护措施（4 分）： 明确学生共创内容更新流程（如每月集中更新窗口）、部件损坏响应机制（如 24 小时内到场修补），得 4 分； 有基本维护方案（如说明可更换部件，未提响应时间），得 2.5 分； 无维护措施或未提及内容更新，得 0.5 分。 （无内容不得分）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一、评审内容 针对项目实施的进度安排及按时完成工作内容的保证措施，内容包括： ① 进度安排：是否结合 21 个日历天及 6 栋楼任务，制定分楼栋进度表（含设计、材料、施工、验收节点）及衔接逻辑； ② 保障措施：是否针对材料延迟、天气变化等因素，制定应急方案（如备用材料、并行施工等）； ③ 协同机制：是否明确与校方的沟通流程（如方案确认时限、问题响应速度）。 二、评分标准 进度安排（4 分）： 分楼栋进度表清晰，各环节时间节点明确，衔接合理，得 4 分； 有分楼栋安排，节点较粗，衔接基本清晰，得 2 分； 无分楼栋表或节点模糊，得 0.5 分。 保障措施（4 分）： 应急方案具体，能应对各类影响因素，得 4 分； 有方案，能应对主要因素，细节不足，得 2 分； 无方案或不可行，得 0.5 分。 协同机制（4 分）： 沟通流程明确，确认时限、响应速度具体，得 4 分； 有基本流程，关键时限清晰，得 2 分； 无流程或模糊，得 0.5 分。 （无内容不得分）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针对服务过程中各类突发事件的应急响应方案进行评审，内容包括： ① 突发事件覆盖：是否包含服务期突发事件（如材料损坏、安装失误、天气突变停工）及使用期应急情况（如文化墙部件脱落、电子公示栏故障、学生互动板块内容争议等）； ② 响应流程：是否明确各类事件的应急处理步骤（如责任人、响应时限、处理措施），例如电子设备故障是否承诺到场检修时限，部件脱落是否有临时加固方案； ③ 预案可行性：措施是否贴合项目实际（如针对 6 栋楼分散特点，是否有分区域应急物资储备），能否快速恢复服务不影响正常使用。 二、评分标准 突发事件覆盖（3 分）： 完整覆盖服务期及使用期所有提及的突发事件类型（材料损坏、电子设备故障等），得 3 分； 覆盖主要事件类型（如含服务期关键事件和使用期核心故障），得 1.5 分； 仅覆盖少量事件（如仅提及 1-2 类），得 0.5 分。 响应流程（3 分）： 各类事件均明确责任人、具体响应时限（如 2 小时到场）及处理措施（如临时加固方案），流程清晰，得 3 分； 主要事件有基本流程（含响应时限但措施较简），得 1.5 分； 流程模糊（无明确时限或责任人），得 0.5 分。 预案可行性（2 分）： 措施贴合项目实际（如分区域储备应急物资），能快速恢复服务，得 2 分； 措施基本可行但针对性一般（如无分区域安排），得 1 分； 措施脱离实际（如无具体恢复方案），得 0.5 分。 （无内容不得分）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拟投入本项目实施的服务人员资质</w:t>
            </w:r>
          </w:p>
        </w:tc>
        <w:tc>
          <w:tcPr>
            <w:tcW w:type="dxa" w:w="2492"/>
          </w:tcPr>
          <w:p>
            <w:pPr>
              <w:pStyle w:val="null3"/>
            </w:pPr>
            <w:r>
              <w:rPr>
                <w:rFonts w:ascii="仿宋_GB2312" w:hAnsi="仿宋_GB2312" w:cs="仿宋_GB2312" w:eastAsia="仿宋_GB2312"/>
              </w:rPr>
              <w:t>一、评审内容 针对投入本项目实施的服务人员资质进行审核，内容包括： ① 项目负责人是否具备文化建设类或小型工程类项目服务经验； ② 至少 1 名现场人员是否具备基础施工或安装协调从业经历。 二、评分标准 项目负责人经验（3 分）： 能提供 1 个文化建设类或小型工程类项目的业绩证明（如合同、服务验收单，需体现负责人参与痕迹），得 3 分； 现场人员能力（3 分）： 至少 1 名现场人员能提供施工/安装协调从业经历证明（如体现其参与施工协调的项目合同、岗位说明，或相关岗位证书），得 3 分。 （未提供证明材料不得分）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拟投入本项目的基础设备</w:t>
            </w:r>
          </w:p>
        </w:tc>
        <w:tc>
          <w:tcPr>
            <w:tcW w:type="dxa" w:w="2492"/>
          </w:tcPr>
          <w:p>
            <w:pPr>
              <w:pStyle w:val="null3"/>
            </w:pPr>
            <w:r>
              <w:rPr>
                <w:rFonts w:ascii="仿宋_GB2312" w:hAnsi="仿宋_GB2312" w:cs="仿宋_GB2312" w:eastAsia="仿宋_GB2312"/>
              </w:rPr>
              <w:t>一、评审内容 针对拟投入本项目的基础设备进行审核，内容包括是否具备文化墙及相关设施（楼号牌、标语牌等）制作安装所需工具，具体如下： 测量工具（水平仪、卷尺、激光测距仪等，确保安装精度）； 基础加工工具（小型切割机、打磨机等，适配 PVC、板材等材质处理）； 安装辅助工具（电钻、螺丝刀、固定件等，保障安装牢固性）。 二、评分标准 提供完整设备清单及相关证明（如设备照片），涵盖上述所有类型工具，能全面满足施工需求，得 6 分； 提供部分设备清单，基本满足主要施工环节需求（如缺少 1-2 类非核心工具），得 3 分； 未提供设备清单或设备明显不足，无法保障施工，不得分。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针对各供应商提供的本次项目服务承诺进行审核，内容包括： ① 服务质量：是否承诺成品符合采购要求、确保安装牢固安全； ② 服务期限：是否明确施工工期不超 21 日历天、质保期不低于 1 年； ③ 人员到岗：是否承诺服务期间关键人员（负责人、现场岗）按时到场。 二、评分标准 服务质量承诺（4 分）： 明确承诺成品符合采购要求且安装牢固安全，得 4 分； 有基本承诺但表述较笼统（如仅提 “符合要求”），得 2 分； 未提供服务质量承诺，不得分。 服务期限承诺（2 分）： 明确承诺施工工期不超 21 日历天且质保期不低于 1 年，得 2 分； 未提供服务期限承诺，不得分。 人员到岗承诺（2 分）： 明确承诺服务期间关键人员（负责人、现场岗）按时到场，得 2 分； 有到岗承诺但未明确 “关键人员” 范围，得 1 分； 未提供人员到岗承诺，不得分。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一、评审内容 针对供应商提供的2022年1月至今类似高校校园文化建设方面项目业绩进行审核，需提供合同及中标通知书复印件（加盖企业鲜章）。 二、评分标准 提供 2 个类似项目业绩（附符合要求的合同及中标通知书），得 8 分； 提供 1 个类似项目业绩（附符合要求的合同及中标通知书），得 4 分。 （未提供业绩证明材料不得分）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1、满足磋商文件要求的最终响应最低报价为评标基准价，供应商的价格得分统一按下列公式计算：磋商报价得分 =(评标基准价/最终响应报价)×15（得分计算结果保留小数点后两位，小数点第三位四舍五入）； 2、本项目为专门面向中小企业项目，不再执行价格评审优惠的扶持政策。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