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版本号：ZJHZ-ZC25003520250910001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汉中市优先监管地块重点监测项目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ZJHZ-ZC250035</w:t>
      </w:r>
      <w:r>
        <w:br/>
      </w:r>
      <w:r>
        <w:br/>
      </w:r>
      <w:r>
        <w:br/>
      </w:r>
    </w:p>
    <w:p>
      <w:pPr>
        <w:pStyle w:val="null3"/>
        <w:jc w:val="center"/>
        <w:outlineLvl w:val="2"/>
      </w:pPr>
      <w:r>
        <w:rPr>
          <w:rFonts w:ascii="仿宋_GB2312" w:hAnsi="仿宋_GB2312" w:cs="仿宋_GB2312" w:eastAsia="仿宋_GB2312"/>
          <w:sz w:val="28"/>
          <w:b/>
        </w:rPr>
        <w:t>汉中市环境监测中心站</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汉中市环境监测中心站</w:t>
      </w:r>
      <w:r>
        <w:rPr>
          <w:rFonts w:ascii="仿宋_GB2312" w:hAnsi="仿宋_GB2312" w:cs="仿宋_GB2312" w:eastAsia="仿宋_GB2312"/>
        </w:rPr>
        <w:t>委托，拟对</w:t>
      </w:r>
      <w:r>
        <w:rPr>
          <w:rFonts w:ascii="仿宋_GB2312" w:hAnsi="仿宋_GB2312" w:cs="仿宋_GB2312" w:eastAsia="仿宋_GB2312"/>
        </w:rPr>
        <w:t>汉中市优先监管地块重点监测项目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汉中市优先监管地块重点监测项目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拟对汉中市境内纳入优先监管地块清单且尚未开展过采样调查工作的 2个优先监管地块开展重点监测，初步掌握优先监管地块的土壤和地下水等环境状况，提出污染管控建议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采购包1（汉中市优先监管地块重点监测项目）：属于专门面向中小企业采购。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4、本项目不接受联合体磋商，供应商应提供《非联合体声明》：本项目不接受联合体磋商，供应商应提供《非联合体声明》</w:t>
      </w:r>
    </w:p>
    <w:p>
      <w:pPr>
        <w:pStyle w:val="null3"/>
      </w:pPr>
      <w:r>
        <w:rPr>
          <w:rFonts w:ascii="仿宋_GB2312" w:hAnsi="仿宋_GB2312" w:cs="仿宋_GB2312" w:eastAsia="仿宋_GB2312"/>
        </w:rPr>
        <w:t>5、供应商必须通过检验检测机构资质认定，取得 CMA 证书，且认证能力项目须达到本项目中监测项目60%以上：供应商必须通过检验检测机构资质认定，取得 CMA 证书，且认证能力项目须达到本项目中监测项目60%以上</w:t>
      </w:r>
    </w:p>
    <w:p>
      <w:pPr>
        <w:pStyle w:val="null3"/>
      </w:pPr>
      <w:r>
        <w:rPr>
          <w:rFonts w:ascii="仿宋_GB2312" w:hAnsi="仿宋_GB2312" w:cs="仿宋_GB2312" w:eastAsia="仿宋_GB2312"/>
        </w:rPr>
        <w:t>6、项目负责人具有环境类或水文地质类或土壤类专业中级及以上职称。：项目负责人具有环境类或水文地质类或土壤类专业中级及以上职称。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后（优惠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汉中市环境监测中心站</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本项目拟对汉中市境内纳入优先监管地块清单且尚未开展过采样调查工作的 2 个优先监管地块开展重点监测，地块分别为汉川数控机床股份有限公司、陕西汉中汉江制药化工公司初步掌握优先监管地块的土壤和地下水等环境状况，提出污染管控建议。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456,600.00</w:t>
      </w:r>
    </w:p>
    <w:p>
      <w:pPr>
        <w:pStyle w:val="null3"/>
      </w:pPr>
      <w:r>
        <w:rPr>
          <w:rFonts w:ascii="仿宋_GB2312" w:hAnsi="仿宋_GB2312" w:cs="仿宋_GB2312" w:eastAsia="仿宋_GB2312"/>
        </w:rPr>
        <w:t>采购包最高限价（元）: 456,600.00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汉中市优先监管地块重点监测项目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标的名称：汉中市优先监管地块重点监测项目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总体要求：</w:t>
            </w:r>
          </w:p>
          <w:p>
            <w:pPr>
              <w:pStyle w:val="null3"/>
            </w:pPr>
            <w:r>
              <w:rPr>
                <w:rFonts w:ascii="仿宋_GB2312" w:hAnsi="仿宋_GB2312" w:cs="仿宋_GB2312" w:eastAsia="仿宋_GB2312"/>
                <w:sz w:val="18"/>
                <w:color w:val="000000"/>
              </w:rPr>
              <w:t>按照《优先监管地块土壤污染管控工作指南（试行）》、《关于印发重点行业企业用地调查系列技术文件的通知》（环办土壤〔</w:t>
            </w:r>
            <w:r>
              <w:rPr>
                <w:rFonts w:ascii="仿宋_GB2312" w:hAnsi="仿宋_GB2312" w:cs="仿宋_GB2312" w:eastAsia="仿宋_GB2312"/>
                <w:sz w:val="18"/>
                <w:color w:val="000000"/>
              </w:rPr>
              <w:t>2017〕67号，以下简称《企业用地调查技术文件》）、《关于加强建设用地土壤污染防治有关重点工作的通知》（环办土壤函〔2022〕435号等相关规定，对汉中市境内纳入优先监管地块清单且尚未开展过采样调查（如重点行业企业用地调查、土壤污染状况调查等）工作的地块开展重点监测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基础信息调查：</w:t>
            </w:r>
            <w:r>
              <w:rPr>
                <w:rFonts w:ascii="仿宋_GB2312" w:hAnsi="仿宋_GB2312" w:cs="仿宋_GB2312" w:eastAsia="仿宋_GB2312"/>
                <w:sz w:val="18"/>
                <w:color w:val="000000"/>
              </w:rPr>
              <w:t>地块基础信息主要包括企业基本信息、污染源信息、迁移途径信息、周边敏感目标信息等。</w:t>
            </w:r>
          </w:p>
          <w:p>
            <w:pPr>
              <w:pStyle w:val="null3"/>
            </w:pPr>
            <w:r>
              <w:rPr>
                <w:rFonts w:ascii="仿宋_GB2312" w:hAnsi="仿宋_GB2312" w:cs="仿宋_GB2312" w:eastAsia="仿宋_GB2312"/>
                <w:sz w:val="18"/>
                <w:color w:val="000000"/>
              </w:rPr>
              <w:t>企业基本信息、污染源信息、迁移途径信息等的调查按照《企业用地调查技术文件》中《重点行业企业用地调查信息采集技术规定（试行）》要求执行。</w:t>
            </w:r>
          </w:p>
          <w:p>
            <w:pPr>
              <w:pStyle w:val="null3"/>
            </w:pPr>
            <w:r>
              <w:rPr>
                <w:rFonts w:ascii="仿宋_GB2312" w:hAnsi="仿宋_GB2312" w:cs="仿宋_GB2312" w:eastAsia="仿宋_GB2312"/>
                <w:sz w:val="18"/>
                <w:color w:val="000000"/>
              </w:rPr>
              <w:t>周边敏感目标包括地下水敏感目标和环境空气敏感目标。地下水敏感目标信息采集范围为地块周边</w:t>
            </w:r>
            <w:r>
              <w:rPr>
                <w:rFonts w:ascii="仿宋_GB2312" w:hAnsi="仿宋_GB2312" w:cs="仿宋_GB2312" w:eastAsia="仿宋_GB2312"/>
                <w:sz w:val="18"/>
                <w:color w:val="000000"/>
              </w:rPr>
              <w:t>2</w:t>
            </w:r>
            <w:r>
              <w:rPr>
                <w:rFonts w:ascii="仿宋_GB2312" w:hAnsi="仿宋_GB2312" w:cs="仿宋_GB2312" w:eastAsia="仿宋_GB2312"/>
                <w:sz w:val="18"/>
                <w:color w:val="000000"/>
              </w:rPr>
              <w:t>00 m</w:t>
            </w:r>
            <w:r>
              <w:rPr>
                <w:rFonts w:ascii="仿宋_GB2312" w:hAnsi="仿宋_GB2312" w:cs="仿宋_GB2312" w:eastAsia="仿宋_GB2312"/>
                <w:sz w:val="18"/>
                <w:color w:val="000000"/>
              </w:rPr>
              <w:t>以内的地下水饮用水源保护区、地下水分散式饮用水源地、水力联系密切的重要地表水体等，水文地质条件有利于污染物迁移扩散的，地下水敏感目标信息采集范围可适当扩大。环境空气敏感目标信息采集范围为地块周边</w:t>
            </w:r>
            <w:r>
              <w:rPr>
                <w:rFonts w:ascii="仿宋_GB2312" w:hAnsi="仿宋_GB2312" w:cs="仿宋_GB2312" w:eastAsia="仿宋_GB2312"/>
                <w:sz w:val="18"/>
                <w:color w:val="000000"/>
              </w:rPr>
              <w:t>200 m以内的居住、医疗卫生、文化教育、科研、行政办公等功能区。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color w:val="000000"/>
              </w:rPr>
              <w:t>监测方案编制要求</w:t>
            </w:r>
          </w:p>
          <w:p>
            <w:pPr>
              <w:pStyle w:val="null3"/>
            </w:pPr>
            <w:r>
              <w:rPr>
                <w:rFonts w:ascii="仿宋_GB2312" w:hAnsi="仿宋_GB2312" w:cs="仿宋_GB2312" w:eastAsia="仿宋_GB2312"/>
                <w:sz w:val="18"/>
                <w:color w:val="000000"/>
              </w:rPr>
              <w:t>参照《建设</w:t>
            </w:r>
            <w:r>
              <w:rPr>
                <w:rFonts w:ascii="仿宋_GB2312" w:hAnsi="仿宋_GB2312" w:cs="仿宋_GB2312" w:eastAsia="仿宋_GB2312"/>
                <w:sz w:val="18"/>
                <w:color w:val="000000"/>
              </w:rPr>
              <w:t>用地土壤污染风险管控和修复监测技术导则》（</w:t>
            </w:r>
            <w:r>
              <w:rPr>
                <w:rFonts w:ascii="仿宋_GB2312" w:hAnsi="仿宋_GB2312" w:cs="仿宋_GB2312" w:eastAsia="仿宋_GB2312"/>
                <w:sz w:val="18"/>
                <w:color w:val="000000"/>
              </w:rPr>
              <w:t>HJ25.2）、《重点行业企业用地调查疑似污染地块布点技术规定（试行）》（环办土壤〔2017〕67号）等要求，结合前期收集的环</w:t>
            </w:r>
            <w:r>
              <w:rPr>
                <w:rFonts w:ascii="仿宋_GB2312" w:hAnsi="仿宋_GB2312" w:cs="仿宋_GB2312" w:eastAsia="仿宋_GB2312"/>
                <w:sz w:val="18"/>
                <w:color w:val="000000"/>
              </w:rPr>
              <w:t>境影响评价报告书（表）、环境影响评价登记表、工程地质勘察报告、企业土壤污染隐患排查与整改报告、企业自行监测报告、土壤及地下水历史监测数据等资料，识别疑似污染区域、筛选布点区域、制定布点计划、现场核实采样点位。明确土壤和地下水点位的布点、采样、分析测试方法，预估布点数量、钻探深度，明确样品采样深度的确定方式等。现场信息调查结果表明存在地下水敏感目标和环境空气敏感目标的，须布设地下水和环境空气敏感目标监测点位。项目实施中每个地块需编制重点监测布点采样方案，</w:t>
            </w:r>
            <w:r>
              <w:rPr>
                <w:rFonts w:ascii="仿宋_GB2312" w:hAnsi="仿宋_GB2312" w:cs="仿宋_GB2312" w:eastAsia="仿宋_GB2312"/>
                <w:sz w:val="18"/>
              </w:rPr>
              <w:t>方案通过甲方组织专家审核后，乙方方可开展后续监测工作。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color w:val="000000"/>
              </w:rPr>
              <w:t>点位布设</w:t>
            </w:r>
          </w:p>
          <w:p>
            <w:pPr>
              <w:pStyle w:val="null3"/>
            </w:pPr>
            <w:r>
              <w:rPr>
                <w:rFonts w:ascii="仿宋_GB2312" w:hAnsi="仿宋_GB2312" w:cs="仿宋_GB2312" w:eastAsia="仿宋_GB2312"/>
                <w:sz w:val="18"/>
                <w:color w:val="000000"/>
              </w:rPr>
              <w:t>1.污染监测点位布设</w:t>
            </w:r>
          </w:p>
          <w:p>
            <w:pPr>
              <w:pStyle w:val="null3"/>
            </w:pPr>
            <w:r>
              <w:rPr>
                <w:rFonts w:ascii="仿宋_GB2312" w:hAnsi="仿宋_GB2312" w:cs="仿宋_GB2312" w:eastAsia="仿宋_GB2312"/>
                <w:sz w:val="18"/>
                <w:color w:val="000000"/>
              </w:rPr>
              <w:t>在地块内疑似污染区域布设土壤和地下水监测点，布点位置、布点数量、钻探深度和采样深度按照《企业用地调查技术文件》附件</w:t>
            </w:r>
            <w:r>
              <w:rPr>
                <w:rFonts w:ascii="仿宋_GB2312" w:hAnsi="仿宋_GB2312" w:cs="仿宋_GB2312" w:eastAsia="仿宋_GB2312"/>
                <w:sz w:val="18"/>
                <w:color w:val="000000"/>
              </w:rPr>
              <w:t>4《重点行业企业用地调查疑似污染地块布点技术规定（试行）》执行。</w:t>
            </w:r>
          </w:p>
          <w:p>
            <w:pPr>
              <w:pStyle w:val="null3"/>
            </w:pPr>
            <w:r>
              <w:rPr>
                <w:rFonts w:ascii="仿宋_GB2312" w:hAnsi="仿宋_GB2312" w:cs="仿宋_GB2312" w:eastAsia="仿宋_GB2312"/>
                <w:sz w:val="18"/>
                <w:color w:val="000000"/>
              </w:rPr>
              <w:t>2.扩散监测点位布设</w:t>
            </w:r>
          </w:p>
          <w:p>
            <w:pPr>
              <w:pStyle w:val="null3"/>
            </w:pPr>
            <w:r>
              <w:rPr>
                <w:rFonts w:ascii="仿宋_GB2312" w:hAnsi="仿宋_GB2312" w:cs="仿宋_GB2312" w:eastAsia="仿宋_GB2312"/>
                <w:sz w:val="18"/>
                <w:color w:val="000000"/>
              </w:rPr>
              <w:t>基础信息调查发现涉及易迁移污染物且存在地下水敏感目标的地块，根据地下水流向，在上游、下游边界处至少各布设</w:t>
            </w:r>
            <w:r>
              <w:rPr>
                <w:rFonts w:ascii="仿宋_GB2312" w:hAnsi="仿宋_GB2312" w:cs="仿宋_GB2312" w:eastAsia="仿宋_GB2312"/>
                <w:sz w:val="18"/>
                <w:color w:val="000000"/>
              </w:rPr>
              <w:t>1个地下水监测点。下游边界处超标的，应在距地块边界下游最近的地下水敏感目标处至少布设1个地下水监测点。</w:t>
            </w:r>
          </w:p>
          <w:p>
            <w:pPr>
              <w:pStyle w:val="null3"/>
            </w:pPr>
            <w:r>
              <w:rPr>
                <w:rFonts w:ascii="仿宋_GB2312" w:hAnsi="仿宋_GB2312" w:cs="仿宋_GB2312" w:eastAsia="仿宋_GB2312"/>
                <w:sz w:val="18"/>
                <w:color w:val="000000"/>
              </w:rPr>
              <w:t>涉及挥发性污染物且存在环境空气敏感目标的地块，应按上风向、下风向在地块边界处至少各布设</w:t>
            </w:r>
            <w:r>
              <w:rPr>
                <w:rFonts w:ascii="仿宋_GB2312" w:hAnsi="仿宋_GB2312" w:cs="仿宋_GB2312" w:eastAsia="仿宋_GB2312"/>
                <w:sz w:val="18"/>
                <w:color w:val="000000"/>
              </w:rPr>
              <w:t>1个环境空气监测点。下风向边界处超标的，应在距地块边界下风向最近的环境空气敏感目标（含临时使用区域）处至少布设1个环境空气监测点。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color w:val="000000"/>
              </w:rPr>
              <w:t>检测指标确定</w:t>
            </w:r>
          </w:p>
          <w:p>
            <w:pPr>
              <w:pStyle w:val="null3"/>
            </w:pPr>
            <w:r>
              <w:rPr>
                <w:rFonts w:ascii="仿宋_GB2312" w:hAnsi="仿宋_GB2312" w:cs="仿宋_GB2312" w:eastAsia="仿宋_GB2312"/>
                <w:sz w:val="18"/>
                <w:color w:val="000000"/>
              </w:rPr>
              <w:t>1.土壤：疑似污染区域土壤样品检测指标包括</w:t>
            </w:r>
            <w:r>
              <w:rPr>
                <w:rFonts w:ascii="仿宋_GB2312" w:hAnsi="仿宋_GB2312" w:cs="仿宋_GB2312" w:eastAsia="仿宋_GB2312"/>
                <w:sz w:val="18"/>
                <w:color w:val="000000"/>
              </w:rPr>
              <w:t>GB 36600</w:t>
            </w:r>
            <w:r>
              <w:rPr>
                <w:rFonts w:ascii="仿宋_GB2312" w:hAnsi="仿宋_GB2312" w:cs="仿宋_GB2312" w:eastAsia="仿宋_GB2312"/>
                <w:sz w:val="18"/>
                <w:color w:val="000000"/>
              </w:rPr>
              <w:t>中的</w:t>
            </w:r>
            <w:r>
              <w:rPr>
                <w:rFonts w:ascii="仿宋_GB2312" w:hAnsi="仿宋_GB2312" w:cs="仿宋_GB2312" w:eastAsia="仿宋_GB2312"/>
                <w:sz w:val="18"/>
                <w:color w:val="000000"/>
              </w:rPr>
              <w:t>45</w:t>
            </w:r>
            <w:r>
              <w:rPr>
                <w:rFonts w:ascii="仿宋_GB2312" w:hAnsi="仿宋_GB2312" w:cs="仿宋_GB2312" w:eastAsia="仿宋_GB2312"/>
                <w:sz w:val="18"/>
                <w:color w:val="000000"/>
              </w:rPr>
              <w:t>项基本项目和根据基础信息调查确定的特征污染物。</w:t>
            </w:r>
          </w:p>
          <w:p>
            <w:pPr>
              <w:pStyle w:val="null3"/>
            </w:pPr>
            <w:r>
              <w:rPr>
                <w:rFonts w:ascii="仿宋_GB2312" w:hAnsi="仿宋_GB2312" w:cs="仿宋_GB2312" w:eastAsia="仿宋_GB2312"/>
                <w:sz w:val="18"/>
                <w:color w:val="000000"/>
              </w:rPr>
              <w:t>2.地下水：疑似污染区域地下水样品检测指标为特征污染物，边界处和地下水敏感目标处地下水样品检测指标为特征污染物中的易迁移污染物。</w:t>
            </w:r>
          </w:p>
          <w:p>
            <w:pPr>
              <w:pStyle w:val="null3"/>
            </w:pPr>
            <w:r>
              <w:rPr>
                <w:rFonts w:ascii="仿宋_GB2312" w:hAnsi="仿宋_GB2312" w:cs="仿宋_GB2312" w:eastAsia="仿宋_GB2312"/>
                <w:sz w:val="18"/>
                <w:color w:val="000000"/>
              </w:rPr>
              <w:t>3.环境空气：边界处和环境空气敏感目标处环境空气样品检测指标为特征污染物中的挥发性污染物。</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8"/>
                <w:color w:val="000000"/>
              </w:rPr>
              <w:t>样品采集与流转</w:t>
            </w:r>
          </w:p>
          <w:p>
            <w:pPr>
              <w:pStyle w:val="null3"/>
            </w:pPr>
            <w:r>
              <w:rPr>
                <w:rFonts w:ascii="仿宋_GB2312" w:hAnsi="仿宋_GB2312" w:cs="仿宋_GB2312" w:eastAsia="仿宋_GB2312"/>
                <w:sz w:val="18"/>
                <w:color w:val="000000"/>
              </w:rPr>
              <w:t>按照《企业用地调查技术文件》附件</w:t>
            </w:r>
            <w:r>
              <w:rPr>
                <w:rFonts w:ascii="仿宋_GB2312" w:hAnsi="仿宋_GB2312" w:cs="仿宋_GB2312" w:eastAsia="仿宋_GB2312"/>
                <w:sz w:val="18"/>
                <w:color w:val="000000"/>
              </w:rPr>
              <w:t>5《重点行业企业用地调查样品采集保存和流转技术规定（试行）》，开展土壤和地下水样品采集、保存和流转等。</w:t>
            </w:r>
          </w:p>
          <w:p>
            <w:pPr>
              <w:pStyle w:val="null3"/>
            </w:pPr>
            <w:r>
              <w:rPr>
                <w:rFonts w:ascii="仿宋_GB2312" w:hAnsi="仿宋_GB2312" w:cs="仿宋_GB2312" w:eastAsia="仿宋_GB2312"/>
                <w:sz w:val="18"/>
                <w:color w:val="000000"/>
              </w:rPr>
              <w:t>根据</w:t>
            </w:r>
            <w:r>
              <w:rPr>
                <w:rFonts w:ascii="仿宋_GB2312" w:hAnsi="仿宋_GB2312" w:cs="仿宋_GB2312" w:eastAsia="仿宋_GB2312"/>
                <w:sz w:val="18"/>
                <w:color w:val="000000"/>
              </w:rPr>
              <w:t>HJ 194和HJ 905，如遇到雨雪天气及风速大于8m/s的天气条件时，不宜开展环境空气样品采集。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color w:val="000000"/>
              </w:rPr>
              <w:t>样品分析测试</w:t>
            </w:r>
          </w:p>
          <w:p>
            <w:pPr>
              <w:pStyle w:val="null3"/>
            </w:pPr>
            <w:r>
              <w:rPr>
                <w:rFonts w:ascii="仿宋_GB2312" w:hAnsi="仿宋_GB2312" w:cs="仿宋_GB2312" w:eastAsia="仿宋_GB2312"/>
                <w:sz w:val="18"/>
                <w:color w:val="000000"/>
              </w:rPr>
              <w:t>土壤污染物的分析测试按照</w:t>
            </w:r>
            <w:r>
              <w:rPr>
                <w:rFonts w:ascii="仿宋_GB2312" w:hAnsi="仿宋_GB2312" w:cs="仿宋_GB2312" w:eastAsia="仿宋_GB2312"/>
                <w:sz w:val="18"/>
                <w:color w:val="000000"/>
              </w:rPr>
              <w:t xml:space="preserve">GB 36600 </w:t>
            </w:r>
            <w:r>
              <w:rPr>
                <w:rFonts w:ascii="仿宋_GB2312" w:hAnsi="仿宋_GB2312" w:cs="仿宋_GB2312" w:eastAsia="仿宋_GB2312"/>
                <w:sz w:val="18"/>
                <w:color w:val="000000"/>
              </w:rPr>
              <w:t>和</w:t>
            </w:r>
            <w:r>
              <w:rPr>
                <w:rFonts w:ascii="仿宋_GB2312" w:hAnsi="仿宋_GB2312" w:cs="仿宋_GB2312" w:eastAsia="仿宋_GB2312"/>
                <w:sz w:val="18"/>
                <w:color w:val="000000"/>
              </w:rPr>
              <w:t xml:space="preserve"> HJ/T 166 </w:t>
            </w:r>
            <w:r>
              <w:rPr>
                <w:rFonts w:ascii="仿宋_GB2312" w:hAnsi="仿宋_GB2312" w:cs="仿宋_GB2312" w:eastAsia="仿宋_GB2312"/>
                <w:sz w:val="18"/>
                <w:color w:val="000000"/>
              </w:rPr>
              <w:t>等中的指定方法。</w:t>
            </w:r>
          </w:p>
          <w:p>
            <w:pPr>
              <w:pStyle w:val="null3"/>
            </w:pPr>
            <w:r>
              <w:rPr>
                <w:rFonts w:ascii="仿宋_GB2312" w:hAnsi="仿宋_GB2312" w:cs="仿宋_GB2312" w:eastAsia="仿宋_GB2312"/>
                <w:sz w:val="18"/>
                <w:color w:val="000000"/>
              </w:rPr>
              <w:t>地下水污染物的分析测试按照</w:t>
            </w:r>
            <w:r>
              <w:rPr>
                <w:rFonts w:ascii="仿宋_GB2312" w:hAnsi="仿宋_GB2312" w:cs="仿宋_GB2312" w:eastAsia="仿宋_GB2312"/>
                <w:sz w:val="18"/>
                <w:color w:val="000000"/>
              </w:rPr>
              <w:t>GB/T 14848</w:t>
            </w:r>
            <w:r>
              <w:rPr>
                <w:rFonts w:ascii="仿宋_GB2312" w:hAnsi="仿宋_GB2312" w:cs="仿宋_GB2312" w:eastAsia="仿宋_GB2312"/>
                <w:sz w:val="18"/>
                <w:color w:val="000000"/>
              </w:rPr>
              <w:t>和</w:t>
            </w:r>
            <w:r>
              <w:rPr>
                <w:rFonts w:ascii="仿宋_GB2312" w:hAnsi="仿宋_GB2312" w:cs="仿宋_GB2312" w:eastAsia="仿宋_GB2312"/>
                <w:sz w:val="18"/>
                <w:color w:val="000000"/>
              </w:rPr>
              <w:t>HJ 164</w:t>
            </w:r>
            <w:r>
              <w:rPr>
                <w:rFonts w:ascii="仿宋_GB2312" w:hAnsi="仿宋_GB2312" w:cs="仿宋_GB2312" w:eastAsia="仿宋_GB2312"/>
                <w:sz w:val="18"/>
                <w:color w:val="000000"/>
              </w:rPr>
              <w:t>等中的指定方法。</w:t>
            </w:r>
          </w:p>
          <w:p>
            <w:pPr>
              <w:pStyle w:val="null3"/>
            </w:pPr>
            <w:r>
              <w:rPr>
                <w:rFonts w:ascii="仿宋_GB2312" w:hAnsi="仿宋_GB2312" w:cs="仿宋_GB2312" w:eastAsia="仿宋_GB2312"/>
                <w:sz w:val="18"/>
                <w:color w:val="000000"/>
              </w:rPr>
              <w:t>环境空气污染物的分析测试按照</w:t>
            </w:r>
            <w:r>
              <w:rPr>
                <w:rFonts w:ascii="仿宋_GB2312" w:hAnsi="仿宋_GB2312" w:cs="仿宋_GB2312" w:eastAsia="仿宋_GB2312"/>
                <w:sz w:val="18"/>
                <w:color w:val="000000"/>
              </w:rPr>
              <w:t>GB 14554</w:t>
            </w:r>
            <w:r>
              <w:rPr>
                <w:rFonts w:ascii="仿宋_GB2312" w:hAnsi="仿宋_GB2312" w:cs="仿宋_GB2312" w:eastAsia="仿宋_GB2312"/>
                <w:sz w:val="18"/>
                <w:color w:val="000000"/>
              </w:rPr>
              <w:t>、</w:t>
            </w:r>
            <w:r>
              <w:rPr>
                <w:rFonts w:ascii="仿宋_GB2312" w:hAnsi="仿宋_GB2312" w:cs="仿宋_GB2312" w:eastAsia="仿宋_GB2312"/>
                <w:sz w:val="18"/>
                <w:color w:val="000000"/>
              </w:rPr>
              <w:t>GB 16297</w:t>
            </w:r>
            <w:r>
              <w:rPr>
                <w:rFonts w:ascii="仿宋_GB2312" w:hAnsi="仿宋_GB2312" w:cs="仿宋_GB2312" w:eastAsia="仿宋_GB2312"/>
                <w:sz w:val="18"/>
                <w:color w:val="000000"/>
              </w:rPr>
              <w:t>、</w:t>
            </w:r>
            <w:r>
              <w:rPr>
                <w:rFonts w:ascii="仿宋_GB2312" w:hAnsi="仿宋_GB2312" w:cs="仿宋_GB2312" w:eastAsia="仿宋_GB2312"/>
                <w:sz w:val="18"/>
                <w:color w:val="000000"/>
              </w:rPr>
              <w:t>GB/T 14676、GB/T 14677、GB/T 14678、HJ 1262等中的指定方法。</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8"/>
                <w:color w:val="000000"/>
              </w:rPr>
              <w:t>监测结果评价</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土壤</w:t>
            </w:r>
            <w:r>
              <w:rPr>
                <w:rFonts w:ascii="仿宋_GB2312" w:hAnsi="仿宋_GB2312" w:cs="仿宋_GB2312" w:eastAsia="仿宋_GB2312"/>
                <w:sz w:val="18"/>
                <w:color w:val="000000"/>
              </w:rPr>
              <w:t>土壤污染物采用地块现状或规划用途对应</w:t>
            </w:r>
            <w:r>
              <w:rPr>
                <w:rFonts w:ascii="仿宋_GB2312" w:hAnsi="仿宋_GB2312" w:cs="仿宋_GB2312" w:eastAsia="仿宋_GB2312"/>
                <w:sz w:val="18"/>
                <w:color w:val="000000"/>
              </w:rPr>
              <w:t>GB 36600</w:t>
            </w:r>
            <w:r>
              <w:rPr>
                <w:rFonts w:ascii="仿宋_GB2312" w:hAnsi="仿宋_GB2312" w:cs="仿宋_GB2312" w:eastAsia="仿宋_GB2312"/>
                <w:sz w:val="18"/>
                <w:color w:val="000000"/>
              </w:rPr>
              <w:t>中用地类型的筛选值进行评价。对</w:t>
            </w:r>
            <w:r>
              <w:rPr>
                <w:rFonts w:ascii="仿宋_GB2312" w:hAnsi="仿宋_GB2312" w:cs="仿宋_GB2312" w:eastAsia="仿宋_GB2312"/>
                <w:sz w:val="18"/>
                <w:color w:val="000000"/>
              </w:rPr>
              <w:t>GB 36600</w:t>
            </w:r>
            <w:r>
              <w:rPr>
                <w:rFonts w:ascii="仿宋_GB2312" w:hAnsi="仿宋_GB2312" w:cs="仿宋_GB2312" w:eastAsia="仿宋_GB2312"/>
                <w:sz w:val="18"/>
                <w:color w:val="000000"/>
              </w:rPr>
              <w:t>未涉及的污染物，可参照</w:t>
            </w:r>
            <w:r>
              <w:rPr>
                <w:rFonts w:ascii="仿宋_GB2312" w:hAnsi="仿宋_GB2312" w:cs="仿宋_GB2312" w:eastAsia="仿宋_GB2312"/>
                <w:sz w:val="18"/>
                <w:color w:val="000000"/>
              </w:rPr>
              <w:t>HJ 25.3</w:t>
            </w:r>
            <w:r>
              <w:rPr>
                <w:rFonts w:ascii="仿宋_GB2312" w:hAnsi="仿宋_GB2312" w:cs="仿宋_GB2312" w:eastAsia="仿宋_GB2312"/>
                <w:sz w:val="18"/>
                <w:color w:val="000000"/>
              </w:rPr>
              <w:t>等相关技术导则推导筛选值，或采用其他土壤污染风险管控标准进行评价。</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地下水</w:t>
            </w:r>
            <w:r>
              <w:rPr>
                <w:rFonts w:ascii="仿宋_GB2312" w:hAnsi="仿宋_GB2312" w:cs="仿宋_GB2312" w:eastAsia="仿宋_GB2312"/>
                <w:sz w:val="18"/>
                <w:color w:val="000000"/>
              </w:rPr>
              <w:t>疑似污染区域和边界处地下水污染物采用</w:t>
            </w:r>
            <w:r>
              <w:rPr>
                <w:rFonts w:ascii="仿宋_GB2312" w:hAnsi="仿宋_GB2312" w:cs="仿宋_GB2312" w:eastAsia="仿宋_GB2312"/>
                <w:sz w:val="18"/>
                <w:color w:val="000000"/>
              </w:rPr>
              <w:t>GB/T 14848</w:t>
            </w:r>
            <w:r>
              <w:rPr>
                <w:rFonts w:ascii="仿宋_GB2312" w:hAnsi="仿宋_GB2312" w:cs="仿宋_GB2312" w:eastAsia="仿宋_GB2312"/>
                <w:sz w:val="18"/>
                <w:color w:val="000000"/>
              </w:rPr>
              <w:t>中</w:t>
            </w:r>
            <w:r>
              <w:rPr>
                <w:rFonts w:ascii="仿宋_GB2312" w:hAnsi="仿宋_GB2312" w:cs="仿宋_GB2312" w:eastAsia="仿宋_GB2312"/>
                <w:sz w:val="18"/>
                <w:color w:val="000000"/>
              </w:rPr>
              <w:t>IV</w:t>
            </w:r>
            <w:r>
              <w:rPr>
                <w:rFonts w:ascii="仿宋_GB2312" w:hAnsi="仿宋_GB2312" w:cs="仿宋_GB2312" w:eastAsia="仿宋_GB2312"/>
                <w:sz w:val="18"/>
                <w:color w:val="000000"/>
              </w:rPr>
              <w:t>类标准限值或按地下水使用功能对应的限值进行评价；周边敏感目标处地下水污染物采用</w:t>
            </w:r>
            <w:r>
              <w:rPr>
                <w:rFonts w:ascii="仿宋_GB2312" w:hAnsi="仿宋_GB2312" w:cs="仿宋_GB2312" w:eastAsia="仿宋_GB2312"/>
                <w:sz w:val="18"/>
                <w:color w:val="000000"/>
              </w:rPr>
              <w:t>GB/T 14848</w:t>
            </w:r>
            <w:r>
              <w:rPr>
                <w:rFonts w:ascii="仿宋_GB2312" w:hAnsi="仿宋_GB2312" w:cs="仿宋_GB2312" w:eastAsia="仿宋_GB2312"/>
                <w:sz w:val="18"/>
                <w:color w:val="000000"/>
              </w:rPr>
              <w:t>中</w:t>
            </w:r>
            <w:r>
              <w:rPr>
                <w:rFonts w:ascii="仿宋_GB2312" w:hAnsi="仿宋_GB2312" w:cs="仿宋_GB2312" w:eastAsia="仿宋_GB2312"/>
                <w:sz w:val="18"/>
                <w:color w:val="000000"/>
              </w:rPr>
              <w:t>III</w:t>
            </w:r>
            <w:r>
              <w:rPr>
                <w:rFonts w:ascii="仿宋_GB2312" w:hAnsi="仿宋_GB2312" w:cs="仿宋_GB2312" w:eastAsia="仿宋_GB2312"/>
                <w:sz w:val="18"/>
                <w:color w:val="000000"/>
              </w:rPr>
              <w:t>类标准限值进行评价。对</w:t>
            </w:r>
            <w:r>
              <w:rPr>
                <w:rFonts w:ascii="仿宋_GB2312" w:hAnsi="仿宋_GB2312" w:cs="仿宋_GB2312" w:eastAsia="仿宋_GB2312"/>
                <w:sz w:val="18"/>
                <w:color w:val="000000"/>
              </w:rPr>
              <w:t>GB/T 14848</w:t>
            </w:r>
            <w:r>
              <w:rPr>
                <w:rFonts w:ascii="仿宋_GB2312" w:hAnsi="仿宋_GB2312" w:cs="仿宋_GB2312" w:eastAsia="仿宋_GB2312"/>
                <w:sz w:val="18"/>
                <w:color w:val="000000"/>
              </w:rPr>
              <w:t>未涉及的污染物，可采用其他水质标准进行评价，如石油烃（</w:t>
            </w:r>
            <w:r>
              <w:rPr>
                <w:rFonts w:ascii="仿宋_GB2312" w:hAnsi="仿宋_GB2312" w:cs="仿宋_GB2312" w:eastAsia="仿宋_GB2312"/>
                <w:sz w:val="18"/>
                <w:color w:val="000000"/>
              </w:rPr>
              <w:t>C10-C40</w:t>
            </w:r>
            <w:r>
              <w:rPr>
                <w:rFonts w:ascii="仿宋_GB2312" w:hAnsi="仿宋_GB2312" w:cs="仿宋_GB2312" w:eastAsia="仿宋_GB2312"/>
                <w:sz w:val="18"/>
                <w:color w:val="000000"/>
              </w:rPr>
              <w:t>）可采用《上海市建设用地土壤污染状况调查、风险评估、风险管控与修复方案编制、风险管控与修复效果评估工作的补充规定（试行）》中地下水污染风险管控筛选值进行评价。</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环境空气地块边界处环境空气污染物采用</w:t>
            </w:r>
            <w:r>
              <w:rPr>
                <w:rFonts w:ascii="仿宋_GB2312" w:hAnsi="仿宋_GB2312" w:cs="仿宋_GB2312" w:eastAsia="仿宋_GB2312"/>
                <w:sz w:val="18"/>
                <w:color w:val="000000"/>
              </w:rPr>
              <w:t>GB 16297</w:t>
            </w:r>
            <w:r>
              <w:rPr>
                <w:rFonts w:ascii="仿宋_GB2312" w:hAnsi="仿宋_GB2312" w:cs="仿宋_GB2312" w:eastAsia="仿宋_GB2312"/>
                <w:sz w:val="18"/>
                <w:color w:val="000000"/>
              </w:rPr>
              <w:t>无组织排放监控浓度限值、</w:t>
            </w:r>
            <w:r>
              <w:rPr>
                <w:rFonts w:ascii="仿宋_GB2312" w:hAnsi="仿宋_GB2312" w:cs="仿宋_GB2312" w:eastAsia="仿宋_GB2312"/>
                <w:sz w:val="18"/>
                <w:color w:val="000000"/>
              </w:rPr>
              <w:t>GB 14554</w:t>
            </w:r>
            <w:r>
              <w:rPr>
                <w:rFonts w:ascii="仿宋_GB2312" w:hAnsi="仿宋_GB2312" w:cs="仿宋_GB2312" w:eastAsia="仿宋_GB2312"/>
                <w:sz w:val="18"/>
                <w:color w:val="000000"/>
              </w:rPr>
              <w:t>恶臭污染物厂界标准值进行评价，周边敏感目标处（含临时使用区域）环境空气污染物采用</w:t>
            </w:r>
            <w:r>
              <w:rPr>
                <w:rFonts w:ascii="仿宋_GB2312" w:hAnsi="仿宋_GB2312" w:cs="仿宋_GB2312" w:eastAsia="仿宋_GB2312"/>
                <w:sz w:val="18"/>
                <w:color w:val="000000"/>
              </w:rPr>
              <w:t>HJ 2.2</w:t>
            </w:r>
            <w:r>
              <w:rPr>
                <w:rFonts w:ascii="仿宋_GB2312" w:hAnsi="仿宋_GB2312" w:cs="仿宋_GB2312" w:eastAsia="仿宋_GB2312"/>
                <w:sz w:val="18"/>
                <w:color w:val="000000"/>
              </w:rPr>
              <w:t>污染物空气质量参考限值、</w:t>
            </w:r>
            <w:r>
              <w:rPr>
                <w:rFonts w:ascii="仿宋_GB2312" w:hAnsi="仿宋_GB2312" w:cs="仿宋_GB2312" w:eastAsia="仿宋_GB2312"/>
                <w:sz w:val="18"/>
                <w:color w:val="000000"/>
              </w:rPr>
              <w:t>GB 14554</w:t>
            </w:r>
            <w:r>
              <w:rPr>
                <w:rFonts w:ascii="仿宋_GB2312" w:hAnsi="仿宋_GB2312" w:cs="仿宋_GB2312" w:eastAsia="仿宋_GB2312"/>
                <w:sz w:val="18"/>
                <w:color w:val="000000"/>
              </w:rPr>
              <w:t>恶臭污染物厂界标准值进行评价。</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18"/>
                <w:color w:val="000000"/>
              </w:rPr>
              <w:t>数据报送</w:t>
            </w:r>
          </w:p>
          <w:p>
            <w:pPr>
              <w:pStyle w:val="null3"/>
            </w:pPr>
            <w:r>
              <w:rPr>
                <w:rFonts w:ascii="仿宋_GB2312" w:hAnsi="仿宋_GB2312" w:cs="仿宋_GB2312" w:eastAsia="仿宋_GB2312"/>
                <w:sz w:val="18"/>
                <w:color w:val="000000"/>
              </w:rPr>
              <w:t>前期调查结果明确后，应及时采用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全国污染地块土壤环境管理信息系统</w:t>
            </w:r>
            <w:r>
              <w:rPr>
                <w:rFonts w:ascii="仿宋_GB2312" w:hAnsi="仿宋_GB2312" w:cs="仿宋_GB2312" w:eastAsia="仿宋_GB2312"/>
                <w:sz w:val="18"/>
                <w:color w:val="000000"/>
              </w:rPr>
              <w:t>”</w:t>
            </w:r>
            <w:r>
              <w:rPr>
                <w:rFonts w:ascii="仿宋_GB2312" w:hAnsi="仿宋_GB2312" w:cs="仿宋_GB2312" w:eastAsia="仿宋_GB2312"/>
                <w:sz w:val="18"/>
                <w:color w:val="000000"/>
              </w:rPr>
              <w:t>关闭搬迁企业地块污染管控模块进行重点监测地块基础信息管理、监测数据与空间信息管理和进展管理。</w:t>
            </w:r>
            <w:r>
              <w:rPr>
                <w:rFonts w:ascii="仿宋_GB2312" w:hAnsi="仿宋_GB2312" w:cs="仿宋_GB2312" w:eastAsia="仿宋_GB2312"/>
                <w:sz w:val="18"/>
                <w:color w:val="000000"/>
              </w:rPr>
              <w:t>在样品采集与流转的过程中，应采用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建设用地土壤污染状况调查质量控制手持终端软件</w:t>
            </w:r>
            <w:r>
              <w:rPr>
                <w:rFonts w:ascii="仿宋_GB2312" w:hAnsi="仿宋_GB2312" w:cs="仿宋_GB2312" w:eastAsia="仿宋_GB2312"/>
                <w:sz w:val="18"/>
                <w:color w:val="000000"/>
              </w:rPr>
              <w:t>”</w:t>
            </w:r>
            <w:r>
              <w:rPr>
                <w:rFonts w:ascii="仿宋_GB2312" w:hAnsi="仿宋_GB2312" w:cs="仿宋_GB2312" w:eastAsia="仿宋_GB2312"/>
                <w:sz w:val="18"/>
                <w:color w:val="000000"/>
              </w:rPr>
              <w:t>完成样品采集保存与流转和质量管理等工作。按照要求，实现各环节数据报送。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18"/>
                <w:color w:val="000000"/>
              </w:rPr>
              <w:t>地下水监测井建设：</w:t>
            </w:r>
          </w:p>
          <w:p>
            <w:pPr>
              <w:pStyle w:val="null3"/>
            </w:pPr>
            <w:r>
              <w:rPr>
                <w:rFonts w:ascii="仿宋_GB2312" w:hAnsi="仿宋_GB2312" w:cs="仿宋_GB2312" w:eastAsia="仿宋_GB2312"/>
                <w:sz w:val="18"/>
                <w:color w:val="000000"/>
              </w:rPr>
              <w:t>地下水监测井施工严格按照《地下水环境监测技术规范》（</w:t>
            </w:r>
            <w:r>
              <w:rPr>
                <w:rFonts w:ascii="仿宋_GB2312" w:hAnsi="仿宋_GB2312" w:cs="仿宋_GB2312" w:eastAsia="仿宋_GB2312"/>
                <w:sz w:val="18"/>
                <w:color w:val="000000"/>
              </w:rPr>
              <w:t>HJ 164-2020）中单管单层标准环境监测井的相关要求建设。监测井建设过程包括钻孔、下管、填充滤料、密封止水、成井洗井和填写成井记录单等步骤。</w:t>
            </w:r>
          </w:p>
          <w:p>
            <w:pPr>
              <w:pStyle w:val="null3"/>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18"/>
                <w:color w:val="000000"/>
              </w:rPr>
              <w:t>提出污染管控建议</w:t>
            </w:r>
          </w:p>
          <w:p>
            <w:pPr>
              <w:pStyle w:val="null3"/>
            </w:pPr>
            <w:r>
              <w:rPr>
                <w:rFonts w:ascii="仿宋_GB2312" w:hAnsi="仿宋_GB2312" w:cs="仿宋_GB2312" w:eastAsia="仿宋_GB2312"/>
                <w:sz w:val="18"/>
                <w:color w:val="000000"/>
              </w:rPr>
              <w:t>若存在土壤污染物含量超过《土壤环境质量建设用地土壤污染风险管控标准（试行）》（</w:t>
            </w:r>
            <w:r>
              <w:rPr>
                <w:rFonts w:ascii="仿宋_GB2312" w:hAnsi="仿宋_GB2312" w:cs="仿宋_GB2312" w:eastAsia="仿宋_GB2312"/>
                <w:sz w:val="18"/>
                <w:color w:val="000000"/>
              </w:rPr>
              <w:t>GB36600</w:t>
            </w:r>
            <w:r>
              <w:rPr>
                <w:rFonts w:ascii="仿宋_GB2312" w:hAnsi="仿宋_GB2312" w:cs="仿宋_GB2312" w:eastAsia="仿宋_GB2312"/>
                <w:sz w:val="18"/>
                <w:color w:val="000000"/>
              </w:rPr>
              <w:t>），进一步划定管控范围，根据实际情况采取制度控制、环境监测、工程控制等措施。根据重点监测结果，结合污染扩散情况及对周边敏感目标的影响，明确地块污染管控要求。</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8"/>
                <w:color w:val="000000"/>
              </w:rPr>
              <w:t>质量保证与质量控制</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须严格按照《建设用地土壤污染状况调查技术导则》（HJ25.1）、《重点行业企业用地调查信息采集技术规定（试行）》（环办土壤〔2017〕67号）和《重点行业企业用地调查信息采集工作手册（试行）》（环办土壤函〔2018〕884号）等文件要求开展工作，如国家印发新的工作指南或者新要求，投标人须无条件按照新要求执行</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应按照所采用的分析测试方法和相关技术要求规定有效实施内部质量控制并编制内部质量控制报告，配备足够的质量控制工作人员，制定有针对性的质量控制措施并有效实施，建立完整的问题发现、反馈和整改闭环机制，对样品采集质量和监测数据质量负责</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3）须无条件接受采购人和外部质控单位开展的外部质量控制核查</w:t>
            </w:r>
            <w:r>
              <w:rPr>
                <w:rFonts w:ascii="仿宋_GB2312" w:hAnsi="仿宋_GB2312" w:cs="仿宋_GB2312" w:eastAsia="仿宋_GB2312"/>
                <w:sz w:val="18"/>
                <w:color w:val="000000"/>
              </w:rPr>
              <w:t>；</w:t>
            </w:r>
          </w:p>
          <w:p>
            <w:pPr>
              <w:pStyle w:val="null3"/>
            </w:pP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样品监测采用的分析测试方法均应取得</w:t>
            </w:r>
            <w:r>
              <w:rPr>
                <w:rFonts w:ascii="仿宋_GB2312" w:hAnsi="仿宋_GB2312" w:cs="仿宋_GB2312" w:eastAsia="仿宋_GB2312"/>
                <w:sz w:val="18"/>
                <w:color w:val="000000"/>
              </w:rPr>
              <w:t>CMA资质，监测结果出具CMA资质认定报告。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 xml:space="preserve"> </w:t>
            </w:r>
            <w:r>
              <w:br/>
            </w:r>
          </w:p>
          <w:tbl>
            <w:tblPr>
              <w:tblBorders>
                <w:top w:val="single"/>
                <w:left w:val="single"/>
                <w:bottom w:val="single"/>
                <w:right w:val="single"/>
                <w:insideH w:val="single"/>
                <w:insideV w:val="single"/>
              </w:tblBorders>
            </w:tblPr>
            <w:tblGrid>
              <w:gridCol w:w="275"/>
              <w:gridCol w:w="2118"/>
              <w:gridCol w:w="219"/>
            </w:tblGrid>
            <w:tr>
              <w:tc>
                <w:tcPr>
                  <w:tcW w:type="dxa" w:w="275"/>
                </w:tcPr>
                <w:p>
                  <w:pPr>
                    <w:pStyle w:val="null3"/>
                    <w:jc w:val="center"/>
                  </w:pPr>
                  <w:r>
                    <w:rPr>
                      <w:rFonts w:ascii="仿宋_GB2312" w:hAnsi="仿宋_GB2312" w:cs="仿宋_GB2312" w:eastAsia="仿宋_GB2312"/>
                      <w:sz w:val="18"/>
                      <w:color w:val="000000"/>
                    </w:rPr>
                    <w:t>成果类型</w:t>
                  </w:r>
                </w:p>
              </w:tc>
              <w:tc>
                <w:tcPr>
                  <w:tcW w:type="dxa" w:w="2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成果名称</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方案</w:t>
                  </w:r>
                </w:p>
              </w:tc>
              <w:tc>
                <w:tcPr>
                  <w:tcW w:type="dxa" w:w="2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2个地块重点监测布点采样方案</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2份</w:t>
                  </w:r>
                </w:p>
              </w:tc>
            </w:tr>
            <w:tr>
              <w:tc>
                <w:tcPr>
                  <w:tcW w:type="dxa" w:w="275"/>
                  <w:vMerge w:val="restart"/>
                </w:tcPr>
                <w:p>
                  <w:pPr>
                    <w:pStyle w:val="null3"/>
                    <w:jc w:val="center"/>
                  </w:pPr>
                  <w:r>
                    <w:rPr>
                      <w:rFonts w:ascii="仿宋_GB2312" w:hAnsi="仿宋_GB2312" w:cs="仿宋_GB2312" w:eastAsia="仿宋_GB2312"/>
                      <w:sz w:val="18"/>
                      <w:color w:val="000000"/>
                    </w:rPr>
                    <w:t>报告</w:t>
                  </w:r>
                </w:p>
              </w:tc>
              <w:tc>
                <w:tcPr>
                  <w:tcW w:type="dxa" w:w="2118"/>
                </w:tcPr>
                <w:p>
                  <w:pPr>
                    <w:pStyle w:val="null3"/>
                  </w:pPr>
                  <w:r>
                    <w:rPr>
                      <w:rFonts w:ascii="仿宋_GB2312" w:hAnsi="仿宋_GB2312" w:cs="仿宋_GB2312" w:eastAsia="仿宋_GB2312"/>
                      <w:sz w:val="18"/>
                    </w:rPr>
                    <w:t>2个地块</w:t>
                  </w:r>
                  <w:r>
                    <w:rPr>
                      <w:rFonts w:ascii="仿宋_GB2312" w:hAnsi="仿宋_GB2312" w:cs="仿宋_GB2312" w:eastAsia="仿宋_GB2312"/>
                      <w:sz w:val="18"/>
                    </w:rPr>
                    <w:t>重点监测报告</w:t>
                  </w:r>
                </w:p>
              </w:tc>
              <w:tc>
                <w:tcPr>
                  <w:tcW w:type="dxa" w:w="219"/>
                </w:tcPr>
                <w:p>
                  <w:pPr>
                    <w:pStyle w:val="null3"/>
                    <w:jc w:val="center"/>
                  </w:pPr>
                  <w:r>
                    <w:rPr>
                      <w:rFonts w:ascii="仿宋_GB2312" w:hAnsi="仿宋_GB2312" w:cs="仿宋_GB2312" w:eastAsia="仿宋_GB2312"/>
                      <w:sz w:val="18"/>
                      <w:color w:val="000000"/>
                    </w:rPr>
                    <w:t>2份</w:t>
                  </w:r>
                </w:p>
              </w:tc>
            </w:tr>
            <w:tr>
              <w:tc>
                <w:tcPr>
                  <w:tcW w:type="dxa" w:w="275"/>
                  <w:vMerge/>
                </w:tcPr>
                <w:p/>
              </w:tc>
              <w:tc>
                <w:tcPr>
                  <w:tcW w:type="dxa" w:w="2118"/>
                </w:tcPr>
                <w:p>
                  <w:pPr>
                    <w:pStyle w:val="null3"/>
                  </w:pPr>
                  <w:r>
                    <w:rPr>
                      <w:rFonts w:ascii="仿宋_GB2312" w:hAnsi="仿宋_GB2312" w:cs="仿宋_GB2312" w:eastAsia="仿宋_GB2312"/>
                      <w:sz w:val="18"/>
                    </w:rPr>
                    <w:t>2个地块内部质量控制报告</w:t>
                  </w:r>
                </w:p>
              </w:tc>
              <w:tc>
                <w:tcPr>
                  <w:tcW w:type="dxa" w:w="219"/>
                </w:tcPr>
                <w:p>
                  <w:pPr>
                    <w:pStyle w:val="null3"/>
                    <w:jc w:val="center"/>
                  </w:pPr>
                  <w:r>
                    <w:rPr>
                      <w:rFonts w:ascii="仿宋_GB2312" w:hAnsi="仿宋_GB2312" w:cs="仿宋_GB2312" w:eastAsia="仿宋_GB2312"/>
                      <w:sz w:val="18"/>
                      <w:color w:val="000000"/>
                    </w:rPr>
                    <w:t>2份</w:t>
                  </w:r>
                </w:p>
              </w:tc>
            </w:tr>
            <w:tr>
              <w:tc>
                <w:tcPr>
                  <w:tcW w:type="dxa" w:w="275"/>
                  <w:vMerge/>
                </w:tcPr>
                <w:p/>
              </w:tc>
              <w:tc>
                <w:tcPr>
                  <w:tcW w:type="dxa" w:w="2118"/>
                </w:tcPr>
                <w:p>
                  <w:pPr>
                    <w:pStyle w:val="null3"/>
                  </w:pPr>
                  <w:r>
                    <w:rPr>
                      <w:rFonts w:ascii="仿宋_GB2312" w:hAnsi="仿宋_GB2312" w:cs="仿宋_GB2312" w:eastAsia="仿宋_GB2312"/>
                      <w:sz w:val="18"/>
                    </w:rPr>
                    <w:t>工作总结报告</w:t>
                  </w:r>
                </w:p>
              </w:tc>
              <w:tc>
                <w:tcPr>
                  <w:tcW w:type="dxa" w:w="219"/>
                </w:tcPr>
                <w:p>
                  <w:pPr>
                    <w:pStyle w:val="null3"/>
                    <w:jc w:val="center"/>
                  </w:pPr>
                  <w:r>
                    <w:rPr>
                      <w:rFonts w:ascii="仿宋_GB2312" w:hAnsi="仿宋_GB2312" w:cs="仿宋_GB2312" w:eastAsia="仿宋_GB2312"/>
                      <w:sz w:val="18"/>
                      <w:color w:val="000000"/>
                    </w:rPr>
                    <w:t>1份</w:t>
                  </w:r>
                </w:p>
              </w:tc>
            </w:tr>
            <w:tr>
              <w:tc>
                <w:tcPr>
                  <w:tcW w:type="dxa" w:w="275"/>
                </w:tcPr>
                <w:p>
                  <w:pPr>
                    <w:pStyle w:val="null3"/>
                    <w:jc w:val="center"/>
                  </w:pPr>
                  <w:r>
                    <w:rPr>
                      <w:rFonts w:ascii="仿宋_GB2312" w:hAnsi="仿宋_GB2312" w:cs="仿宋_GB2312" w:eastAsia="仿宋_GB2312"/>
                      <w:sz w:val="18"/>
                    </w:rPr>
                    <w:t>数据</w:t>
                  </w:r>
                </w:p>
              </w:tc>
              <w:tc>
                <w:tcPr>
                  <w:tcW w:type="dxa" w:w="2118"/>
                </w:tcPr>
                <w:p>
                  <w:pPr>
                    <w:pStyle w:val="null3"/>
                  </w:pPr>
                  <w:r>
                    <w:rPr>
                      <w:rFonts w:ascii="仿宋_GB2312" w:hAnsi="仿宋_GB2312" w:cs="仿宋_GB2312" w:eastAsia="仿宋_GB2312"/>
                      <w:sz w:val="18"/>
                      <w:color w:val="000000"/>
                    </w:rPr>
                    <w:t>2个地块重点监测数据及档案资料</w:t>
                  </w:r>
                  <w:r>
                    <w:rPr>
                      <w:rFonts w:ascii="仿宋_GB2312" w:hAnsi="仿宋_GB2312" w:cs="仿宋_GB2312" w:eastAsia="仿宋_GB2312"/>
                      <w:sz w:val="18"/>
                      <w:color w:val="000000"/>
                    </w:rPr>
                    <w:t>，包括优先监管地块的基本信息、资料收集、现场调查、人员访谈、</w:t>
                  </w:r>
                  <w:r>
                    <w:rPr>
                      <w:rFonts w:ascii="仿宋_GB2312" w:hAnsi="仿宋_GB2312" w:cs="仿宋_GB2312" w:eastAsia="仿宋_GB2312"/>
                      <w:sz w:val="18"/>
                      <w:color w:val="000000"/>
                    </w:rPr>
                    <w:t>地块空间信息及影像数据集</w:t>
                  </w:r>
                  <w:r>
                    <w:rPr>
                      <w:rFonts w:ascii="仿宋_GB2312" w:hAnsi="仿宋_GB2312" w:cs="仿宋_GB2312" w:eastAsia="仿宋_GB2312"/>
                      <w:sz w:val="18"/>
                      <w:color w:val="000000"/>
                    </w:rPr>
                    <w:t>等</w:t>
                  </w:r>
                </w:p>
              </w:tc>
              <w:tc>
                <w:tcPr>
                  <w:tcW w:type="dxa" w:w="219"/>
                </w:tcPr>
                <w:p>
                  <w:pPr>
                    <w:pStyle w:val="null3"/>
                    <w:jc w:val="center"/>
                  </w:pPr>
                  <w:r>
                    <w:rPr>
                      <w:rFonts w:ascii="仿宋_GB2312" w:hAnsi="仿宋_GB2312" w:cs="仿宋_GB2312" w:eastAsia="仿宋_GB2312"/>
                      <w:sz w:val="18"/>
                      <w:color w:val="000000"/>
                    </w:rPr>
                    <w:t>2套</w:t>
                  </w:r>
                </w:p>
              </w:tc>
            </w:tr>
            <w:tr>
              <w:tc>
                <w:tcPr>
                  <w:tcW w:type="dxa" w:w="275"/>
                </w:tcPr>
                <w:p>
                  <w:pPr>
                    <w:pStyle w:val="null3"/>
                    <w:jc w:val="center"/>
                  </w:pPr>
                  <w:r>
                    <w:rPr>
                      <w:rFonts w:ascii="仿宋_GB2312" w:hAnsi="仿宋_GB2312" w:cs="仿宋_GB2312" w:eastAsia="仿宋_GB2312"/>
                      <w:sz w:val="18"/>
                    </w:rPr>
                    <w:t>清单</w:t>
                  </w:r>
                </w:p>
              </w:tc>
              <w:tc>
                <w:tcPr>
                  <w:tcW w:type="dxa" w:w="2118"/>
                </w:tcPr>
                <w:p>
                  <w:pPr>
                    <w:pStyle w:val="null3"/>
                  </w:pPr>
                  <w:r>
                    <w:rPr>
                      <w:rFonts w:ascii="仿宋_GB2312" w:hAnsi="仿宋_GB2312" w:cs="仿宋_GB2312" w:eastAsia="仿宋_GB2312"/>
                      <w:sz w:val="18"/>
                      <w:color w:val="000000"/>
                    </w:rPr>
                    <w:t>实施污染管控地块清单</w:t>
                  </w:r>
                </w:p>
              </w:tc>
              <w:tc>
                <w:tcPr>
                  <w:tcW w:type="dxa" w:w="219"/>
                </w:tcPr>
                <w:p>
                  <w:pPr>
                    <w:pStyle w:val="null3"/>
                    <w:jc w:val="center"/>
                  </w:pPr>
                  <w:r>
                    <w:rPr>
                      <w:rFonts w:ascii="仿宋_GB2312" w:hAnsi="仿宋_GB2312" w:cs="仿宋_GB2312" w:eastAsia="仿宋_GB2312"/>
                      <w:sz w:val="18"/>
                      <w:color w:val="000000"/>
                    </w:rPr>
                    <w:t>1份</w:t>
                  </w:r>
                </w:p>
              </w:tc>
            </w:tr>
            <w:tr>
              <w:tc>
                <w:tcPr>
                  <w:tcW w:type="dxa" w:w="275"/>
                </w:tcPr>
                <w:p>
                  <w:pPr>
                    <w:pStyle w:val="null3"/>
                    <w:jc w:val="center"/>
                  </w:pPr>
                  <w:r>
                    <w:rPr>
                      <w:rFonts w:ascii="仿宋_GB2312" w:hAnsi="仿宋_GB2312" w:cs="仿宋_GB2312" w:eastAsia="仿宋_GB2312"/>
                      <w:sz w:val="18"/>
                    </w:rPr>
                    <w:t>其他</w:t>
                  </w:r>
                </w:p>
              </w:tc>
              <w:tc>
                <w:tcPr>
                  <w:tcW w:type="dxa" w:w="2118"/>
                </w:tcPr>
                <w:p>
                  <w:pPr>
                    <w:pStyle w:val="null3"/>
                  </w:pPr>
                  <w:r>
                    <w:rPr>
                      <w:rFonts w:ascii="仿宋_GB2312" w:hAnsi="仿宋_GB2312" w:cs="仿宋_GB2312" w:eastAsia="仿宋_GB2312"/>
                      <w:sz w:val="18"/>
                      <w:color w:val="000000"/>
                    </w:rPr>
                    <w:t>按照采购人要求提供的本项目范围内其他服务成果</w:t>
                  </w:r>
                </w:p>
              </w:tc>
              <w:tc>
                <w:tcPr>
                  <w:tcW w:type="dxa" w:w="219"/>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18"/>
                <w:color w:val="000000"/>
              </w:rPr>
              <w:t>1、项目成果要通过</w:t>
            </w:r>
            <w:r>
              <w:rPr>
                <w:rFonts w:ascii="仿宋_GB2312" w:hAnsi="仿宋_GB2312" w:cs="仿宋_GB2312" w:eastAsia="仿宋_GB2312"/>
                <w:sz w:val="18"/>
                <w:color w:val="000000"/>
              </w:rPr>
              <w:t>甲方</w:t>
            </w:r>
            <w:r>
              <w:rPr>
                <w:rFonts w:ascii="仿宋_GB2312" w:hAnsi="仿宋_GB2312" w:cs="仿宋_GB2312" w:eastAsia="仿宋_GB2312"/>
                <w:sz w:val="18"/>
                <w:color w:val="000000"/>
              </w:rPr>
              <w:t>组织的</w:t>
            </w:r>
            <w:r>
              <w:rPr>
                <w:rFonts w:ascii="仿宋_GB2312" w:hAnsi="仿宋_GB2312" w:cs="仿宋_GB2312" w:eastAsia="仿宋_GB2312"/>
                <w:sz w:val="18"/>
                <w:color w:val="000000"/>
              </w:rPr>
              <w:t>专家技术审查</w:t>
            </w:r>
            <w:r>
              <w:rPr>
                <w:rFonts w:ascii="仿宋_GB2312" w:hAnsi="仿宋_GB2312" w:cs="仿宋_GB2312" w:eastAsia="仿宋_GB2312"/>
                <w:sz w:val="18"/>
                <w:color w:val="000000"/>
              </w:rPr>
              <w:t>、</w:t>
            </w:r>
            <w:r>
              <w:rPr>
                <w:rFonts w:ascii="仿宋_GB2312" w:hAnsi="仿宋_GB2312" w:cs="仿宋_GB2312" w:eastAsia="仿宋_GB2312"/>
                <w:sz w:val="18"/>
                <w:color w:val="000000"/>
              </w:rPr>
              <w:t>验收和上级环保部门备案审批。</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、包括但不限于以上条款规定，以本项目实施方案为基础，且符合国家相关技术规范标准。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根据本项目特点，合理组织项目实施团队，配备满足业务需求的技术和服务团队参与项目实施，在投标响应文件中详细列出参加本项目的人员及人员分工说明。在实施期内，应配备项目负责人1人，联络员1人，其中项目负责人要求定期汇报工作进度，联络员负责此项目的沟通协调。 项目负责人需具有2年以上的相关工作经验、中级（含）以上技术职称，具有快速解决问题的能力，有较高的组织和管理协调能力，项目实施团队应具有水质监测、有机污染物分析、数据统计分析及水文地质等相关专业背景知识。 以上人员必须是投标人在职在岗正式员工（非退休），投标文件须提供项目实施人员职称证书证明材料复印件及劳动合同复印件或事业单位机构编制证书复印件（或其他在编证明材料）。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应具有满足本项目实施的实验场所及每个检测参数对应的仪器设备设施。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符合相关标准要求通过采购人验收并验收和上级环保部门备案审批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本项目不接受联合体磋商，供应商应提供《非联合体声明》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供应商必须通过检验检测机构资质认定，取得 CMA 证书，且认证能力项目须达到本项目中监测项目60%以上</w:t>
            </w:r>
          </w:p>
        </w:tc>
        <w:tc>
          <w:tcPr>
            <w:tcW w:type="dxa" w:w="3322"/>
          </w:tcPr>
          <w:p>
            <w:pPr>
              <w:pStyle w:val="null3"/>
            </w:pPr>
            <w:r>
              <w:rPr>
                <w:rFonts w:ascii="仿宋_GB2312" w:hAnsi="仿宋_GB2312" w:cs="仿宋_GB2312" w:eastAsia="仿宋_GB2312"/>
              </w:rPr>
              <w:t>供应商必须通过检验检测机构资质认定，取得 CMA 证书，且认证能力项目须达到本项目中监测项目60%以上</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项目负责人具有环境类或水文地质类或土壤类专业中级及以上职称。</w:t>
            </w:r>
          </w:p>
        </w:tc>
        <w:tc>
          <w:tcPr>
            <w:tcW w:type="dxa" w:w="3322"/>
          </w:tcPr>
          <w:p>
            <w:pPr>
              <w:pStyle w:val="null3"/>
            </w:pPr>
            <w:r>
              <w:rPr>
                <w:rFonts w:ascii="仿宋_GB2312" w:hAnsi="仿宋_GB2312" w:cs="仿宋_GB2312" w:eastAsia="仿宋_GB2312"/>
              </w:rPr>
              <w:t>项目负责人具有环境类或水文地质类或土壤类专业中级及以上职称。</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项目重点难点分析.docx 磋商保证金.docx 检测能力.docx 商务应答表 服务承诺.docx 报价表 拟投入项目组人员情况表.docx 试验场所.docx 业绩表.docx 供应商应提交的相关资格证明材料.docx 标的清单 项目的基础了解.docx 服务方案.docx 监狱企业的证明文件 服务内容及服务邀请应答表 中小企业声明函 检测实力.docx 质量保证措施.docx 响应文件封面 进度保证措施.docx 保密方案.docx 供应商认为有必要补充说明的事项.docx 项目负责人简历表.docx 残疾人福利性单位声明函 仪器设备.docx 工作流程.docx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项目的基础了解</w:t>
            </w:r>
          </w:p>
        </w:tc>
        <w:tc>
          <w:tcPr>
            <w:tcW w:type="dxa" w:w="2492"/>
          </w:tcPr>
          <w:p>
            <w:pPr>
              <w:pStyle w:val="null3"/>
            </w:pPr>
            <w:r>
              <w:rPr>
                <w:rFonts w:ascii="仿宋_GB2312" w:hAnsi="仿宋_GB2312" w:cs="仿宋_GB2312" w:eastAsia="仿宋_GB2312"/>
              </w:rPr>
              <w:t>一、评审内容 ①土壤状况调查的目标；②土壤状况调查的原则；③土壤状况调查的依据。 二、评审标准 ①土壤状况调查的目标： 1.完整性（1 分）：明确包含 “污染识别、风险评估、管控建议”3 项核心目标得1 分；缺少 1-2 项得0.5 分；缺失 3 项得0 分； 2.可行性（1 分）：目标可通过现有技术手段实现（如 “3 个月内完成污染识别”）得1 分；目标模糊或不可实现得0分； 3.针对性（1 分）：结合项目地块历史用途（如工业遗留地）设定目标得1 分；目标通用无针对性得0 分 ②土壤状况调查的原则： 1.完整性（1 分）：涵盖 “科学性、客观性、规范性、安全性”4项原则得1 分；缺少 1-2 项得0.5 分；缺失 3 项及以上得0 分； 2.可行性（1 分）：原则可落地（如 “客观性原则下明确第三方见证要求”）得1分；原则仅为口号得0 分； 3.针对性（1 分）：针对项目敏感区域（如周边居民区）强调 “安全性原则”得1 分；原则无场景适配得0 分 ③土壤状况调查的依据： 1.完整性（1 分）：包含 “国家标准（GB）、行业标准（HJ）、地方规定”3 类依据，且列明具体标准号得1 分；缺少 1类或未列标准号得0.5 分；无依据得0分。 2.可行性（1 分）：依据现行有效（未废止）得1 分；依据失效得0 分； 针对性（1 分）：结合项目所在地地方规定得1 分；仅引用通用标准得0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项目的基础了解.docx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①前期工作的开展；②土壤状况调查的工作流程方案。 二、评审标准 ①前期工作的开展： 1.完整性（0.5 分）：包含 “资料收集、现场踏勘、人员培训”3 项内容得0.5 分；缺少 1 项得0.3 分；缺失 2 项及以上得0 分- 2.可行性（0.5 分）：明确每项工作的完成时限（如 “资料收集 5 个工作日内完成”）得0.5 分；无时限得0 分； 3.针对性（0.5 分）：针对踏勘区域复杂地形制定专项踏勘方案得0.5 分；踏勘方案通用得0 分 ②土壤状况调查的工作流程方案： 1.完整性（0.5 分）：涵盖 “布点→采样→检测→分析→报告” 全流程得：0.5 分；缺少 1-2 个环节得0.3 分；缺失 3 个及以上得0 分； 2.可行性（0.5 分）：流程环节衔接顺畅（如 “采样后 24 小时内送样检测”）得0.5 分；衔接混乱得0 分； 针对性（0.5 分）：针对挥发性有机物（VOCs）样品制定 “采样 - 检测” 加急流程得0.5 分；无特殊样品流程得0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一、评审内容 ①针对本项目重点、难点分析方案； ②针对本项目重点、难点解决方案。 二 、评审标准 ①针对本项目重点、难点分析方案： 1.完整性（1 分）：明确识别 “采样精度、数据准确性、报告合规性”3 项重点及 “复杂地质采样、样品交叉污染、多部门协同”3 项难点得1 分；缺少 1-2 项得0.5 分；缺失 3 项及以上得0分； 2.可行性（1 分）：分析基于项目实际数据（如地块历史污染记录）得1 分；分析主观臆断得0 分； 3.针对性（1 分）：针对项目特定污染类型（如重金属污染）分析难点得1 分；分析通用化得0 分 ②针对本项目重点、难点解决方案： 1.完整性（1 分）：每个重点/难点对应 1项解决方案得1 分；部分对应得0.5 分；无对应方案的0 分； 2.可行性（1 分）：方案可操作（如 “复杂地质采样采用螺旋钻采样法”）得1 分；方案不可落地得0分； 针对性（1 分）：方案结合项目现场条件（如 “狭小场地采用小型采样设备”）得1 分；方案通用无适配得0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①基础信息调查；②点位布设；③样品采集保存和流转；④数据分析和报送；⑤结果评价；⑥管控区域划定；⑦污染管控建议；⑧报告编制 二、评审标准 ①基础信息调查： 1.完整性（1 分）：包含 “地块权属、历史用途、周边环境、水文地质”4 项信息得1 分；缺少 1-2 项得0.5 分；缺失 3 项及以上得0 分： 2.可行性（1 分）：明确信息获取渠道（如 “向自然资源局调取权属证明”）得1 分；渠道模糊得0 分； 3.针对性（1 分）：针对疑似污染区域重点调查历史生产记录得1 分；调查无侧重得0 分 ②点位布设： 1.完整性（1 分）：包含 “布点原则、数量、位置、深度”4 要素得1 分；缺少 1-2 要素得0.5 分；缺失 3 要素及以上的0分； 2.可行性（1 分）：布点数量符合 HJ/T 166 标准得1 分；不符合标准得0分； 3.针对性（1 分）：在疑似污染区域加密布点（如每 50㎡1 个点）得1 分；布点均匀无侧重得0 分 ③样品采集保存和流转： 1.完整性（1 分）：涵盖 “采样工具、保存条件、流转记录、交接流程”4 项得1 分；缺少 1-2 项得0.5 分；缺失 3 项及以上得0 分； 2.可行性（1 分）：保存条件符合标准（如 VOCs 样品 4℃冷藏）得1 分；条件不符得0 分； 3.针对性（1 分）：针对不同样品类型（土壤、地下水）制定差异化流转流程得1 分；流程统一无差异得0 分 ④数据分析和报送： 1.完整性（1 分）：包含 “数据审核、统计分析、异常值处理、报送格式”4 项得1 分；缺少 1-2 项得0.5 分；缺失 3 项及以上得0 分； 2.可行性（1 分）：明确分析方法（如 “采用 SPSS 软件进行统计分析”）得1 分；方法不明得0 分； 3. 针对性（1 分）：针对超标数据增加溯源分析得1 分；仅罗列数据无分析得0 分 ⑤结果评价 1.完整性（1 分）：包含 “污染程度判定、风险等级划分、影响范围界定”3 项地1 分；缺少 1 项得0.5 分；缺失 2 项及以上得0 分； 2.可行性（1 分）：评价依据GB36600-2018 标准得1分；依据错误得0分； 3.针对性（1 分）：结合项目周边敏感目标（如学校）调整风险等级判定标准得1 分；评价标准通用得0分 ⑥管控区域划定： 1.完整性（1 分）：包含 “划定原则、范围、标识、管控要求”4 项得1 分；缺少 1-2 项得0.5 分；缺失 3 项及以上得0 分2.可行性（1 分）：范围划定清晰（附坐标图）得1 分；范围模糊得0分 2.针对性（1 分）：针对高污染区域制定封闭管控措施得1 分；管控措施无差异得0 分 ⑦污染管控建议: 1.完整性（1 分）：包含 “工程措施、管理措施、监测计划”3 项建议得1 分；缺少 1 项得0.5 分；缺失2项及以上得0分； 2.可行性（1 分）：建议可落地（如 “采用固化稳定化技术处理污染土壤”）得1 分；建议不可行得0分； 3.针对性（1 分）：针对污染类型（如有机污染）推荐生物修复技术得1 分；建议通用得0分； ⑧报告编制 1.完整性（1 分）：包含 “前言、正文、结论、附件”4 部分得1 分；缺少 1-2 部分得0.5 分；缺失 3 部分及以上得0 分； 2.可行性（1 分）：格式符合《土壤污染状况调查技术导则》要求得1 分；格式不符得0 分； 针对性（1 分）：针对评审要求增加专项说明（如数据溯源说明）得1 分；报告模板化得0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检测实力</w:t>
            </w:r>
          </w:p>
        </w:tc>
        <w:tc>
          <w:tcPr>
            <w:tcW w:type="dxa" w:w="2492"/>
          </w:tcPr>
          <w:p>
            <w:pPr>
              <w:pStyle w:val="null3"/>
            </w:pPr>
            <w:r>
              <w:rPr>
                <w:rFonts w:ascii="仿宋_GB2312" w:hAnsi="仿宋_GB2312" w:cs="仿宋_GB2312" w:eastAsia="仿宋_GB2312"/>
              </w:rPr>
              <w:t>CMA 能力附表满足 GB36600-2018 表1中 26 项基本项目 + 表 2 中石油（C10-C40）27 项全满足得4 分；每缺失 1 项扣 0.2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检测实力.docx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①项目进度安排计划；②项目进度保证措施。 二、评审标准 ①项目进度安排计划 1.完整性（0.5 分）：以甘特图明确 “前期准备、现场实施、检测分析、报告编制”4 个阶段时间节点得0.5 分；缺少 1-2 个节点得0.3 分；缺失 3 个及以上得0 分 2.可行性（0.5 分）：总周期符合采购需求（±5% 内）得0.5 分；偏差＞5%得0分；3.针对性（0.5 分）：预留≥10% 缓冲期应对突发情况得0.5 分；无缓冲期得0 分 ②项目进度保证措施 1.完整性（0.5 分）：包含 “人员保障、设备保障、技术保障”3 项措施得0.5 分；缺少 1 项得0.3 分；缺失 2 项及以上得0 分 2.可行性（0.5 分）：明确保障责任部门及联系人得0.5 分；责任不明得0 分； 针对性（0.5 分）：针对检测高峰期增加检测班次得0.5 分；无峰值应对得0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①项目质量保障措施；②项目质量控制措施。 二、评审标准 ①项目质量保障措施 1.完整性（0.5 分）：包含 “制度保障、人员培训、设备校准”3 项的0.5 分；缺少 1 项得0.3 分；缺失 2 项及以上得0 分 2.可行性（0.5 分）：设备校准周期符合要求（如每季度 1 次）得0.5 分；周期不符得0 分； 3.针对性（0.5 分）：针对重金属检测设备制定专项校准方案得0.5 分；校准方案通用得0 分 ②项目质量控制措施： 1.完整性（0.5 分）：包含 “平行样测试、空白样测试、加标回收测试”3 项质控手段得0.5 分；缺少 1 项得0.3 分；缺失 2 项及以上得0 分 2.可行性（0.5 分）：平行样合格率≥95%：0.5 分；合格率＜95%得0 分； 3.针对性（0.5 分）：针对低浓度样品增加加标回收测试频次得0.5 分；无特殊控制得0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①保密制度；②保密措施 二、评审标准“提供保密制度（1分）：含数据加密、权限分级；保密措施（2分）：签订保密协议、现场采样无标识照片、数据脱敏处理流程。</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①服务质量承诺；②服务周期承诺。 二、评审标准 ①服务质量承诺 1、完整性（0.5分）：覆盖 “成果质量 + 响应速度 + 售后服务”3 项得0.5 分；覆盖 2 项得0.3 分；覆盖 1 项及以下得0 分 2、可行性（0.5分）： 报告合格率≥99%：不扣分；＜99%：扣 0.2 分；响应时限≤24 小时：不扣分；＞24 小时：扣 0.3 分 3、针对性（0.5分）明确 “重金属 / VOCs 检测专项质量保障”得0.5 分；未明确得0 分 ②服务周期承诺 1、完整性（0.5分）：覆盖 “总周期 + 阶段周期 + 延期责任”3 项得0.5 分；覆盖 2 项得0.3 分；覆盖 1 项及以下得0 分 2、可行性（0.5分）1. 总周期≤采购要求天数得0.5 分；＞采购要求得0分 3、针对性（0.5分：明确 “高峰期 / 雨季周期保障措施”得0.5 分；未明确：0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供应商同时具备样品测定需求的GC、GC-MS、ICP-MS、原子荧光分析仪、石墨炉原子吸收分光光度计、火焰原子吸收分光光度计、加压流体萃取仪、离子色谱仪的每个类型至少1台，满足得3分，每缺一项，扣1分，扣完为止。 注：提供设备的购置发票复印件或租赁合同复印件（租赁期限自磋商之日起须大于1年）未提供证明材料不计分。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仪器设备.docx</w:t>
            </w:r>
          </w:p>
        </w:tc>
      </w:tr>
      <w:tr>
        <w:tc>
          <w:tcPr>
            <w:tcW w:type="dxa" w:w="831"/>
            <w:vMerge/>
          </w:tcPr>
          <w:p/>
        </w:tc>
        <w:tc>
          <w:tcPr>
            <w:tcW w:type="dxa" w:w="1661"/>
          </w:tcPr>
          <w:p>
            <w:pPr>
              <w:pStyle w:val="null3"/>
            </w:pPr>
            <w:r>
              <w:rPr>
                <w:rFonts w:ascii="仿宋_GB2312" w:hAnsi="仿宋_GB2312" w:cs="仿宋_GB2312" w:eastAsia="仿宋_GB2312"/>
              </w:rPr>
              <w:t>试验场所</w:t>
            </w:r>
          </w:p>
        </w:tc>
        <w:tc>
          <w:tcPr>
            <w:tcW w:type="dxa" w:w="2492"/>
          </w:tcPr>
          <w:p>
            <w:pPr>
              <w:pStyle w:val="null3"/>
            </w:pPr>
            <w:r>
              <w:rPr>
                <w:rFonts w:ascii="仿宋_GB2312" w:hAnsi="仿宋_GB2312" w:cs="仿宋_GB2312" w:eastAsia="仿宋_GB2312"/>
              </w:rPr>
              <w:t>提供监测所用的试验场所证明材料。 注：提供房屋的房产证复印件或租赁合同复印件，不提供不得分。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试验场所.docx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1.具有环境工程类、环境监测类、化学工程类、水土保持或水文、水资源类相关专业高级及以上职称的计3分，高级以下不计分； 2.具有相关工作经验（以毕业证时间为准）：具有两年以上工作经验的得2分，两年及以下的不计分； 注：需要提供项目负责人身份证、职称证、毕业证复印件以及磋商截止时间前六个月内任意连续三个月本单位为其缴纳社保的证明或劳动合同，未提供的本项不计分。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项目团队成员（项目负责人除外）</w:t>
            </w:r>
          </w:p>
        </w:tc>
        <w:tc>
          <w:tcPr>
            <w:tcW w:type="dxa" w:w="2492"/>
          </w:tcPr>
          <w:p>
            <w:pPr>
              <w:pStyle w:val="null3"/>
            </w:pPr>
            <w:r>
              <w:rPr>
                <w:rFonts w:ascii="仿宋_GB2312" w:hAnsi="仿宋_GB2312" w:cs="仿宋_GB2312" w:eastAsia="仿宋_GB2312"/>
              </w:rPr>
              <w:t>1.拟配备人员具有环境工程类、环境科学、环境监测类、化学工程、化学分析类等相关专业中级及以上职称不少于5人的得3分，不满足不得分。 2.项目团队中除项目负责人外有高级工程师及以上人员1名得1分，最高得3分，没有不得分。 注：需要提供项目团队成员的身份证复印件、毕业证复印件、职称证复印件以及磋商截止时间前六个月内任意连续三个月本单位为其缴纳社保的证明或劳动合同，未提供的本项不计分。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1、提供供应商2023年1月1日（以合同签订时间为准）至今完成土壤污染状况调查（第二阶段初步调查），每提供一个得1分，最高得8分。 2、提供供应商2023年1月1日（以合同签订时间为准）至今完成土壤污染状况调查（第二阶段详细调查），每提供一个得1分，最高得5分。 注：业绩以“省级及以上生态环境部门认可得为准，附查询截图。 不提供不得分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1、满足磋商文件要求的最低响应报价为评标基准价，供应商的价格得分统一按照下列公式计算：磋商报价得分=(评标基准价/响应报价)×10(得分计算结果保留小数点后两位，小数点第三位四舍五入)； 2、本项目为专门面向中小企业项目，专门面向中小企业采购的项目，不再执行价格评审优惠的扶持政策。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供应商认为有必要补充说明的事项.docx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详见附件：拟投入项目组人员情况表.docx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详见附件：检测能力.docx</w:t>
      </w:r>
    </w:p>
    <w:p>
      <w:pPr>
        <w:pStyle w:val="null3"/>
        <w:ind w:firstLine="960"/>
      </w:pPr>
      <w:r>
        <w:rPr>
          <w:rFonts w:ascii="仿宋_GB2312" w:hAnsi="仿宋_GB2312" w:cs="仿宋_GB2312" w:eastAsia="仿宋_GB2312"/>
        </w:rPr>
        <w:t>详见附件：检测实力.docx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详见附件：试验场所.docx</w:t>
      </w:r>
    </w:p>
    <w:p>
      <w:pPr>
        <w:pStyle w:val="null3"/>
        <w:ind w:firstLine="960"/>
      </w:pPr>
      <w:r>
        <w:rPr>
          <w:rFonts w:ascii="仿宋_GB2312" w:hAnsi="仿宋_GB2312" w:cs="仿宋_GB2312" w:eastAsia="仿宋_GB2312"/>
        </w:rPr>
        <w:t>详见附件：项目的基础了解.docx</w:t>
      </w:r>
    </w:p>
    <w:p>
      <w:pPr>
        <w:pStyle w:val="null3"/>
        <w:ind w:firstLine="960"/>
      </w:pPr>
      <w:r>
        <w:rPr>
          <w:rFonts w:ascii="仿宋_GB2312" w:hAnsi="仿宋_GB2312" w:cs="仿宋_GB2312" w:eastAsia="仿宋_GB2312"/>
        </w:rPr>
        <w:t>详见附件：项目重点难点分析.docx</w:t>
      </w:r>
    </w:p>
    <w:p>
      <w:pPr>
        <w:pStyle w:val="null3"/>
        <w:ind w:firstLine="960"/>
      </w:pPr>
      <w:r>
        <w:rPr>
          <w:rFonts w:ascii="仿宋_GB2312" w:hAnsi="仿宋_GB2312" w:cs="仿宋_GB2312" w:eastAsia="仿宋_GB2312"/>
        </w:rPr>
        <w:t>详见附件：仪器设备.docx</w:t>
      </w:r>
    </w:p>
    <w:p>
      <w:pPr>
        <w:pStyle w:val="null3"/>
        <w:ind w:firstLine="960"/>
      </w:pPr>
      <w:r>
        <w:rPr>
          <w:rFonts w:ascii="仿宋_GB2312" w:hAnsi="仿宋_GB2312" w:cs="仿宋_GB2312" w:eastAsia="仿宋_GB2312"/>
        </w:rPr>
        <w:t>详见附件：质量保证措施.docx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