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版本号：ZDCG202509120320250915001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留坝县大气污染热点网格监管平台运维服务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ZDCG2025091203</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留坝县大气污染热点网格监管平台运维服务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ZDCG2025091203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留坝县大气污染热点网格监管平台运维服务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对留坝县14台空气质量监测微站提供设备运维服务、获取监测数据，对热点网格智能监管系统进行持续保障，提供手机APP和大数据专家服务，支撑智能化的监测、监察、日常管理等业务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采购包1（留坝县大气污染热点网格监管平台运维服务）：属于专门面向中小企业采购。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特定资格：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3、特定资格：法定代表人直接参加磋商的，出具法定代表人身份证；法定代表人授权代表参加磋商的，出具法定代表人授权书及授权代表身份证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0916-2111569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联系人：张天鹏</w:t>
      </w:r>
    </w:p>
    <w:p>
      <w:pPr>
        <w:pStyle w:val="null3"/>
      </w:pPr>
      <w:r>
        <w:rPr>
          <w:rFonts w:ascii="仿宋_GB2312" w:hAnsi="仿宋_GB2312" w:cs="仿宋_GB2312" w:eastAsia="仿宋_GB2312"/>
        </w:rPr>
        <w:t>联系电话：0916-2111569</w:t>
      </w:r>
    </w:p>
    <w:p>
      <w:pPr>
        <w:pStyle w:val="null3"/>
      </w:pPr>
      <w:r>
        <w:rPr>
          <w:rFonts w:ascii="仿宋_GB2312" w:hAnsi="仿宋_GB2312" w:cs="仿宋_GB2312" w:eastAsia="仿宋_GB2312"/>
        </w:rPr>
        <w:t>地址：陕西省汉中市汉台区盛世国际2号写字楼11楼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对留坝县14台空气质量监测微站提供设备运维服务、获取监测数据，对热点网格智能监管系统进行持续保障，提供手机APP和大数据专家服务，支撑智能化的监测、监察、日常管理等业务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303,000.00</w:t>
      </w:r>
    </w:p>
    <w:p>
      <w:pPr>
        <w:pStyle w:val="null3"/>
      </w:pPr>
      <w:r>
        <w:rPr>
          <w:rFonts w:ascii="仿宋_GB2312" w:hAnsi="仿宋_GB2312" w:cs="仿宋_GB2312" w:eastAsia="仿宋_GB2312"/>
        </w:rPr>
        <w:t>采购包最高限价（元）: 303,000.00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留坝县大气污染热点网格监管平台运维服务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标的名称：留坝县大气污染热点网格监管平台运维服务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设备运维服务</w:t>
            </w:r>
          </w:p>
          <w:p>
            <w:pPr>
              <w:pStyle w:val="null3"/>
              <w:ind w:firstLine="400"/>
            </w:pPr>
            <w:r>
              <w:rPr>
                <w:rFonts w:ascii="仿宋_GB2312" w:hAnsi="仿宋_GB2312" w:cs="仿宋_GB2312" w:eastAsia="仿宋_GB2312"/>
              </w:rPr>
              <w:t>留坝县大气污染热点网格</w:t>
            </w:r>
            <w:r>
              <w:rPr>
                <w:rFonts w:ascii="仿宋_GB2312" w:hAnsi="仿宋_GB2312" w:cs="仿宋_GB2312" w:eastAsia="仿宋_GB2312"/>
              </w:rPr>
              <w:t>内现</w:t>
            </w:r>
            <w:r>
              <w:rPr>
                <w:rFonts w:ascii="仿宋_GB2312" w:hAnsi="仿宋_GB2312" w:cs="仿宋_GB2312" w:eastAsia="仿宋_GB2312"/>
              </w:rPr>
              <w:t>布设</w:t>
            </w:r>
            <w:r>
              <w:rPr>
                <w:rFonts w:ascii="仿宋_GB2312" w:hAnsi="仿宋_GB2312" w:cs="仿宋_GB2312" w:eastAsia="仿宋_GB2312"/>
              </w:rPr>
              <w:t>14个监控点位，包含8个镇办评价点、2个质控点、2个臭氧对照评估点、2个边界沙尘传输监测点，共计14台。</w:t>
            </w:r>
          </w:p>
          <w:p>
            <w:pPr>
              <w:pStyle w:val="null3"/>
              <w:ind w:firstLine="400"/>
            </w:pPr>
            <w:r>
              <w:rPr>
                <w:rFonts w:ascii="仿宋_GB2312" w:hAnsi="仿宋_GB2312" w:cs="仿宋_GB2312" w:eastAsia="仿宋_GB2312"/>
              </w:rPr>
              <w:t>本项目需对留坝县</w:t>
            </w:r>
            <w:r>
              <w:rPr>
                <w:rFonts w:ascii="仿宋_GB2312" w:hAnsi="仿宋_GB2312" w:cs="仿宋_GB2312" w:eastAsia="仿宋_GB2312"/>
              </w:rPr>
              <w:t>14台空气质量监测微站提供设备运维服务、获取监测数据。</w:t>
            </w:r>
          </w:p>
          <w:tbl>
            <w:tblPr>
              <w:tblBorders>
                <w:top w:val="none" w:color="000000" w:sz="4"/>
                <w:left w:val="none" w:color="000000" w:sz="4"/>
                <w:bottom w:val="none" w:color="000000" w:sz="4"/>
                <w:right w:val="none" w:color="000000" w:sz="4"/>
                <w:insideH w:val="none"/>
                <w:insideV w:val="none"/>
              </w:tblBorders>
            </w:tblPr>
            <w:tblGrid>
              <w:gridCol w:w="532"/>
              <w:gridCol w:w="1326"/>
              <w:gridCol w:w="694"/>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两参数（</w:t>
                  </w:r>
                  <w:r>
                    <w:rPr>
                      <w:rFonts w:ascii="仿宋_GB2312" w:hAnsi="仿宋_GB2312" w:cs="仿宋_GB2312" w:eastAsia="仿宋_GB2312"/>
                      <w:sz w:val="18"/>
                    </w:rPr>
                    <w:t>T</w:t>
                  </w:r>
                  <w:r>
                    <w:rPr>
                      <w:rFonts w:ascii="仿宋_GB2312" w:hAnsi="仿宋_GB2312" w:cs="仿宋_GB2312" w:eastAsia="仿宋_GB2312"/>
                      <w:sz w:val="18"/>
                    </w:rPr>
                    <w:t>SP</w:t>
                  </w:r>
                  <w:r>
                    <w:rPr>
                      <w:rFonts w:ascii="仿宋_GB2312" w:hAnsi="仿宋_GB2312" w:cs="仿宋_GB2312" w:eastAsia="仿宋_GB2312"/>
                      <w:sz w:val="18"/>
                    </w:rPr>
                    <w:t>、</w:t>
                  </w:r>
                  <w:r>
                    <w:rPr>
                      <w:rFonts w:ascii="仿宋_GB2312" w:hAnsi="仿宋_GB2312" w:cs="仿宋_GB2312" w:eastAsia="仿宋_GB2312"/>
                      <w:sz w:val="18"/>
                    </w:rPr>
                    <w:t>PM</w:t>
                  </w:r>
                  <w:r>
                    <w:rPr>
                      <w:rFonts w:ascii="仿宋_GB2312" w:hAnsi="仿宋_GB2312" w:cs="仿宋_GB2312" w:eastAsia="仿宋_GB2312"/>
                      <w:sz w:val="18"/>
                      <w:vertAlign w:val="subscript"/>
                    </w:rPr>
                    <w:t>10</w:t>
                  </w:r>
                  <w:r>
                    <w:rPr>
                      <w:rFonts w:ascii="仿宋_GB2312" w:hAnsi="仿宋_GB2312" w:cs="仿宋_GB2312" w:eastAsia="仿宋_GB2312"/>
                      <w:sz w:val="18"/>
                    </w:rPr>
                    <w:t>）</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r>
                    <w:rPr>
                      <w:rFonts w:ascii="仿宋_GB2312" w:hAnsi="仿宋_GB2312" w:cs="仿宋_GB2312" w:eastAsia="仿宋_GB2312"/>
                      <w:sz w:val="18"/>
                    </w:rPr>
                    <w:t>台</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六参数（</w:t>
                  </w:r>
                  <w:r>
                    <w:rPr>
                      <w:rFonts w:ascii="仿宋_GB2312" w:hAnsi="仿宋_GB2312" w:cs="仿宋_GB2312" w:eastAsia="仿宋_GB2312"/>
                      <w:sz w:val="18"/>
                    </w:rPr>
                    <w:t>PM</w:t>
                  </w:r>
                  <w:r>
                    <w:rPr>
                      <w:rFonts w:ascii="仿宋_GB2312" w:hAnsi="仿宋_GB2312" w:cs="仿宋_GB2312" w:eastAsia="仿宋_GB2312"/>
                      <w:sz w:val="18"/>
                      <w:vertAlign w:val="subscript"/>
                    </w:rPr>
                    <w:t>2.5</w:t>
                  </w:r>
                  <w:r>
                    <w:rPr>
                      <w:rFonts w:ascii="仿宋_GB2312" w:hAnsi="仿宋_GB2312" w:cs="仿宋_GB2312" w:eastAsia="仿宋_GB2312"/>
                      <w:sz w:val="18"/>
                    </w:rPr>
                    <w:t>、</w:t>
                  </w:r>
                  <w:r>
                    <w:rPr>
                      <w:rFonts w:ascii="仿宋_GB2312" w:hAnsi="仿宋_GB2312" w:cs="仿宋_GB2312" w:eastAsia="仿宋_GB2312"/>
                      <w:sz w:val="18"/>
                    </w:rPr>
                    <w:t>PM</w:t>
                  </w:r>
                  <w:r>
                    <w:rPr>
                      <w:rFonts w:ascii="仿宋_GB2312" w:hAnsi="仿宋_GB2312" w:cs="仿宋_GB2312" w:eastAsia="仿宋_GB2312"/>
                      <w:sz w:val="18"/>
                      <w:vertAlign w:val="subscript"/>
                    </w:rPr>
                    <w:t>10</w:t>
                  </w:r>
                  <w:r>
                    <w:rPr>
                      <w:rFonts w:ascii="仿宋_GB2312" w:hAnsi="仿宋_GB2312" w:cs="仿宋_GB2312" w:eastAsia="仿宋_GB2312"/>
                      <w:sz w:val="18"/>
                    </w:rPr>
                    <w:t>、</w:t>
                  </w:r>
                  <w:r>
                    <w:rPr>
                      <w:rFonts w:ascii="仿宋_GB2312" w:hAnsi="仿宋_GB2312" w:cs="仿宋_GB2312" w:eastAsia="仿宋_GB2312"/>
                      <w:sz w:val="18"/>
                    </w:rPr>
                    <w:t>SO</w:t>
                  </w:r>
                  <w:r>
                    <w:rPr>
                      <w:rFonts w:ascii="仿宋_GB2312" w:hAnsi="仿宋_GB2312" w:cs="仿宋_GB2312" w:eastAsia="仿宋_GB2312"/>
                      <w:sz w:val="18"/>
                      <w:vertAlign w:val="subscript"/>
                    </w:rPr>
                    <w:t>2</w:t>
                  </w:r>
                  <w:r>
                    <w:rPr>
                      <w:rFonts w:ascii="仿宋_GB2312" w:hAnsi="仿宋_GB2312" w:cs="仿宋_GB2312" w:eastAsia="仿宋_GB2312"/>
                      <w:sz w:val="18"/>
                    </w:rPr>
                    <w:t>、</w:t>
                  </w:r>
                  <w:r>
                    <w:rPr>
                      <w:rFonts w:ascii="仿宋_GB2312" w:hAnsi="仿宋_GB2312" w:cs="仿宋_GB2312" w:eastAsia="仿宋_GB2312"/>
                      <w:sz w:val="18"/>
                    </w:rPr>
                    <w:t>NO</w:t>
                  </w:r>
                  <w:r>
                    <w:rPr>
                      <w:rFonts w:ascii="仿宋_GB2312" w:hAnsi="仿宋_GB2312" w:cs="仿宋_GB2312" w:eastAsia="仿宋_GB2312"/>
                      <w:sz w:val="18"/>
                      <w:vertAlign w:val="subscript"/>
                    </w:rPr>
                    <w:t>2</w:t>
                  </w:r>
                  <w:r>
                    <w:rPr>
                      <w:rFonts w:ascii="仿宋_GB2312" w:hAnsi="仿宋_GB2312" w:cs="仿宋_GB2312" w:eastAsia="仿宋_GB2312"/>
                      <w:sz w:val="18"/>
                    </w:rPr>
                    <w:t>、</w:t>
                  </w:r>
                  <w:r>
                    <w:rPr>
                      <w:rFonts w:ascii="仿宋_GB2312" w:hAnsi="仿宋_GB2312" w:cs="仿宋_GB2312" w:eastAsia="仿宋_GB2312"/>
                      <w:sz w:val="18"/>
                    </w:rPr>
                    <w:t>O</w:t>
                  </w:r>
                  <w:r>
                    <w:rPr>
                      <w:rFonts w:ascii="仿宋_GB2312" w:hAnsi="仿宋_GB2312" w:cs="仿宋_GB2312" w:eastAsia="仿宋_GB2312"/>
                      <w:sz w:val="18"/>
                      <w:vertAlign w:val="subscript"/>
                    </w:rPr>
                    <w:t>3</w:t>
                  </w:r>
                  <w:r>
                    <w:rPr>
                      <w:rFonts w:ascii="仿宋_GB2312" w:hAnsi="仿宋_GB2312" w:cs="仿宋_GB2312" w:eastAsia="仿宋_GB2312"/>
                      <w:sz w:val="18"/>
                    </w:rPr>
                    <w:t>、</w:t>
                  </w:r>
                  <w:r>
                    <w:rPr>
                      <w:rFonts w:ascii="仿宋_GB2312" w:hAnsi="仿宋_GB2312" w:cs="仿宋_GB2312" w:eastAsia="仿宋_GB2312"/>
                      <w:sz w:val="18"/>
                    </w:rPr>
                    <w:t>CO</w:t>
                  </w:r>
                  <w:r>
                    <w:rPr>
                      <w:rFonts w:ascii="仿宋_GB2312" w:hAnsi="仿宋_GB2312" w:cs="仿宋_GB2312" w:eastAsia="仿宋_GB2312"/>
                      <w:sz w:val="18"/>
                    </w:rPr>
                    <w:t>）</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w:t>
                  </w:r>
                  <w:r>
                    <w:rPr>
                      <w:rFonts w:ascii="仿宋_GB2312" w:hAnsi="仿宋_GB2312" w:cs="仿宋_GB2312" w:eastAsia="仿宋_GB2312"/>
                      <w:sz w:val="18"/>
                    </w:rPr>
                    <w:t>台</w:t>
                  </w:r>
                </w:p>
              </w:tc>
            </w:tr>
          </w:tbl>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持续保障</w:t>
            </w:r>
            <w:r>
              <w:rPr>
                <w:rFonts w:ascii="仿宋_GB2312" w:hAnsi="仿宋_GB2312" w:cs="仿宋_GB2312" w:eastAsia="仿宋_GB2312"/>
              </w:rPr>
              <w:t>热点网格监管平台</w:t>
            </w:r>
            <w:r>
              <w:rPr>
                <w:rFonts w:ascii="仿宋_GB2312" w:hAnsi="仿宋_GB2312" w:cs="仿宋_GB2312" w:eastAsia="仿宋_GB2312"/>
              </w:rPr>
              <w:t>运行</w:t>
            </w:r>
          </w:p>
          <w:p>
            <w:pPr>
              <w:pStyle w:val="null3"/>
              <w:ind w:firstLine="400"/>
            </w:pPr>
            <w:r>
              <w:rPr>
                <w:rFonts w:ascii="仿宋_GB2312" w:hAnsi="仿宋_GB2312" w:cs="仿宋_GB2312" w:eastAsia="仿宋_GB2312"/>
              </w:rPr>
              <w:t>留坝县大气热点网格监控数据</w:t>
            </w:r>
            <w:r>
              <w:rPr>
                <w:rFonts w:ascii="仿宋_GB2312" w:hAnsi="仿宋_GB2312" w:cs="仿宋_GB2312" w:eastAsia="仿宋_GB2312"/>
              </w:rPr>
              <w:t>已</w:t>
            </w:r>
            <w:r>
              <w:rPr>
                <w:rFonts w:ascii="仿宋_GB2312" w:hAnsi="仿宋_GB2312" w:cs="仿宋_GB2312" w:eastAsia="仿宋_GB2312"/>
              </w:rPr>
              <w:t>接入平台</w:t>
            </w:r>
            <w:r>
              <w:rPr>
                <w:rFonts w:ascii="仿宋_GB2312" w:hAnsi="仿宋_GB2312" w:cs="仿宋_GB2312" w:eastAsia="仿宋_GB2312"/>
              </w:rPr>
              <w:t>并已稳定运行</w:t>
            </w:r>
            <w:r>
              <w:rPr>
                <w:rFonts w:ascii="仿宋_GB2312" w:hAnsi="仿宋_GB2312" w:cs="仿宋_GB2312" w:eastAsia="仿宋_GB2312"/>
              </w:rPr>
              <w:t>，热点网格监管平台</w:t>
            </w:r>
            <w:r>
              <w:rPr>
                <w:rFonts w:ascii="仿宋_GB2312" w:hAnsi="仿宋_GB2312" w:cs="仿宋_GB2312" w:eastAsia="仿宋_GB2312"/>
              </w:rPr>
              <w:t>服务功能</w:t>
            </w:r>
            <w:r>
              <w:rPr>
                <w:rFonts w:ascii="仿宋_GB2312" w:hAnsi="仿宋_GB2312" w:cs="仿宋_GB2312" w:eastAsia="仿宋_GB2312"/>
              </w:rPr>
              <w:t>包括三维立体监测服务系统服务、热点网格评估及责任量化管理服务、热点网格智能污染异常报警及监管支持系统服务、街乡镇级别空气质量评估与监管服务、重点区域精细化监管系统服务、污染原因实时解析与量化系统服务、污染过程分析系统服务、空气质量监管工作</w:t>
            </w:r>
            <w:r>
              <w:rPr>
                <w:rFonts w:ascii="仿宋_GB2312" w:hAnsi="仿宋_GB2312" w:cs="仿宋_GB2312" w:eastAsia="仿宋_GB2312"/>
              </w:rPr>
              <w:t>APP系统服务等。</w:t>
            </w:r>
          </w:p>
          <w:p>
            <w:pPr>
              <w:pStyle w:val="null3"/>
              <w:ind w:firstLine="400"/>
            </w:pPr>
            <w:r>
              <w:rPr>
                <w:rFonts w:ascii="仿宋_GB2312" w:hAnsi="仿宋_GB2312" w:cs="仿宋_GB2312" w:eastAsia="仿宋_GB2312"/>
              </w:rPr>
              <w:t>本项目需保障以下</w:t>
            </w:r>
            <w:r>
              <w:rPr>
                <w:rFonts w:ascii="仿宋_GB2312" w:hAnsi="仿宋_GB2312" w:cs="仿宋_GB2312" w:eastAsia="仿宋_GB2312"/>
              </w:rPr>
              <w:t>热点网格监管平台</w:t>
            </w:r>
            <w:r>
              <w:rPr>
                <w:rFonts w:ascii="仿宋_GB2312" w:hAnsi="仿宋_GB2312" w:cs="仿宋_GB2312" w:eastAsia="仿宋_GB2312"/>
              </w:rPr>
              <w:t>服务稳定运行。</w:t>
            </w:r>
          </w:p>
          <w:tbl>
            <w:tblPr>
              <w:tblBorders>
                <w:top w:val="none" w:color="000000" w:sz="4"/>
                <w:left w:val="none" w:color="000000" w:sz="4"/>
                <w:bottom w:val="none" w:color="000000" w:sz="4"/>
                <w:right w:val="none" w:color="000000" w:sz="4"/>
                <w:insideH w:val="none"/>
                <w:insideV w:val="none"/>
              </w:tblBorders>
            </w:tblPr>
            <w:tblGrid>
              <w:gridCol w:w="215"/>
              <w:gridCol w:w="537"/>
              <w:gridCol w:w="1800"/>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三维立体监测服务系统</w:t>
                  </w:r>
                  <w:r>
                    <w:rPr>
                      <w:rFonts w:ascii="仿宋_GB2312" w:hAnsi="仿宋_GB2312" w:cs="仿宋_GB2312" w:eastAsia="仿宋_GB2312"/>
                      <w:sz w:val="18"/>
                    </w:rPr>
                    <w:t>服务</w:t>
                  </w:r>
                </w:p>
              </w:tc>
              <w:tc>
                <w:tcPr>
                  <w:tcW w:type="dxa" w:w="1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综合利用空气质量监测子站及气象、卫星遥感、排放源等数据，实现对大气环境全方位立体化的实时感知。支持网页端及</w:t>
                  </w:r>
                  <w:r>
                    <w:rPr>
                      <w:rFonts w:ascii="仿宋_GB2312" w:hAnsi="仿宋_GB2312" w:cs="仿宋_GB2312" w:eastAsia="仿宋_GB2312"/>
                      <w:sz w:val="18"/>
                    </w:rPr>
                    <w:t>APP</w:t>
                  </w:r>
                  <w:r>
                    <w:rPr>
                      <w:rFonts w:ascii="仿宋_GB2312" w:hAnsi="仿宋_GB2312" w:cs="仿宋_GB2312" w:eastAsia="仿宋_GB2312"/>
                      <w:sz w:val="18"/>
                    </w:rPr>
                    <w:t>加密设备点位实时监测数据和历史曲线查询等。</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热点网格评估及责任量化管理</w:t>
                  </w:r>
                  <w:r>
                    <w:rPr>
                      <w:rFonts w:ascii="仿宋_GB2312" w:hAnsi="仿宋_GB2312" w:cs="仿宋_GB2312" w:eastAsia="仿宋_GB2312"/>
                      <w:sz w:val="18"/>
                    </w:rPr>
                    <w:t>服务</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一格一档</w:t>
                  </w:r>
                  <w:r>
                    <w:rPr>
                      <w:rFonts w:ascii="仿宋_GB2312" w:hAnsi="仿宋_GB2312" w:cs="仿宋_GB2312" w:eastAsia="仿宋_GB2312"/>
                      <w:sz w:val="18"/>
                    </w:rPr>
                    <w:t>”</w:t>
                  </w:r>
                  <w:r>
                    <w:rPr>
                      <w:rFonts w:ascii="仿宋_GB2312" w:hAnsi="仿宋_GB2312" w:cs="仿宋_GB2312" w:eastAsia="仿宋_GB2312"/>
                      <w:sz w:val="18"/>
                    </w:rPr>
                    <w:t>，准确量化各级属地热点网格的空气污染状态，为污染源精细化治理提供高效技术手段。内容包括基于大数据分析的高值排放区域识别，支持各点位污染水平，提供平均浓度和排名、重点污染区域、高值点位、重点污染时段。</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热点网格智能污染异常报警及监管支持系统</w:t>
                  </w:r>
                  <w:r>
                    <w:rPr>
                      <w:rFonts w:ascii="仿宋_GB2312" w:hAnsi="仿宋_GB2312" w:cs="仿宋_GB2312" w:eastAsia="仿宋_GB2312"/>
                      <w:sz w:val="18"/>
                    </w:rPr>
                    <w:t>服务</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含空气质量量化数据服务、高值热点网格识别分析服务、报警和用户反馈信息分析等服务。对空气质量进行实时跟踪，全面实时反映最真实的空气质量状况，第一时间发现问题并发出报警，支持实现空气质量实时化监管。支持实时异常高值报警的</w:t>
                  </w:r>
                  <w:r>
                    <w:rPr>
                      <w:rFonts w:ascii="仿宋_GB2312" w:hAnsi="仿宋_GB2312" w:cs="仿宋_GB2312" w:eastAsia="仿宋_GB2312"/>
                      <w:sz w:val="18"/>
                    </w:rPr>
                    <w:t>GIS</w:t>
                  </w:r>
                  <w:r>
                    <w:rPr>
                      <w:rFonts w:ascii="仿宋_GB2312" w:hAnsi="仿宋_GB2312" w:cs="仿宋_GB2312" w:eastAsia="仿宋_GB2312"/>
                      <w:sz w:val="18"/>
                    </w:rPr>
                    <w:t>显示、报警详情查看、报警现场问题</w:t>
                  </w:r>
                  <w:r>
                    <w:rPr>
                      <w:rFonts w:ascii="仿宋_GB2312" w:hAnsi="仿宋_GB2312" w:cs="仿宋_GB2312" w:eastAsia="仿宋_GB2312"/>
                      <w:sz w:val="18"/>
                    </w:rPr>
                    <w:t>、</w:t>
                  </w:r>
                  <w:r>
                    <w:rPr>
                      <w:rFonts w:ascii="仿宋_GB2312" w:hAnsi="仿宋_GB2312" w:cs="仿宋_GB2312" w:eastAsia="仿宋_GB2312"/>
                      <w:sz w:val="18"/>
                    </w:rPr>
                    <w:t>日常巡查问题描述及照片上传等，平台能够对发现问题数量、类型、地理位置进行记录和保存，掌握污染排放的时空规律。</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镇办</w:t>
                  </w:r>
                  <w:r>
                    <w:rPr>
                      <w:rFonts w:ascii="仿宋_GB2312" w:hAnsi="仿宋_GB2312" w:cs="仿宋_GB2312" w:eastAsia="仿宋_GB2312"/>
                      <w:sz w:val="18"/>
                    </w:rPr>
                    <w:t>级别空气质量评估与监管</w:t>
                  </w:r>
                  <w:r>
                    <w:rPr>
                      <w:rFonts w:ascii="仿宋_GB2312" w:hAnsi="仿宋_GB2312" w:cs="仿宋_GB2312" w:eastAsia="仿宋_GB2312"/>
                      <w:sz w:val="18"/>
                    </w:rPr>
                    <w:t>服务</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实现</w:t>
                  </w:r>
                  <w:r>
                    <w:rPr>
                      <w:rFonts w:ascii="仿宋_GB2312" w:hAnsi="仿宋_GB2312" w:cs="仿宋_GB2312" w:eastAsia="仿宋_GB2312"/>
                      <w:sz w:val="18"/>
                    </w:rPr>
                    <w:t>镇办</w:t>
                  </w:r>
                  <w:r>
                    <w:rPr>
                      <w:rFonts w:ascii="仿宋_GB2312" w:hAnsi="仿宋_GB2312" w:cs="仿宋_GB2312" w:eastAsia="仿宋_GB2312"/>
                      <w:sz w:val="18"/>
                    </w:rPr>
                    <w:t>级别的属地量化监管，能够评估每日、周、月、年等周期各</w:t>
                  </w:r>
                  <w:r>
                    <w:rPr>
                      <w:rFonts w:ascii="仿宋_GB2312" w:hAnsi="仿宋_GB2312" w:cs="仿宋_GB2312" w:eastAsia="仿宋_GB2312"/>
                      <w:sz w:val="18"/>
                    </w:rPr>
                    <w:t>镇办</w:t>
                  </w:r>
                  <w:r>
                    <w:rPr>
                      <w:rFonts w:ascii="仿宋_GB2312" w:hAnsi="仿宋_GB2312" w:cs="仿宋_GB2312" w:eastAsia="仿宋_GB2312"/>
                      <w:sz w:val="18"/>
                    </w:rPr>
                    <w:t>空气质量情况，形成报表及</w:t>
                  </w:r>
                  <w:r>
                    <w:rPr>
                      <w:rFonts w:ascii="仿宋_GB2312" w:hAnsi="仿宋_GB2312" w:cs="仿宋_GB2312" w:eastAsia="仿宋_GB2312"/>
                      <w:sz w:val="18"/>
                    </w:rPr>
                    <w:t>GIS</w:t>
                  </w:r>
                  <w:r>
                    <w:rPr>
                      <w:rFonts w:ascii="仿宋_GB2312" w:hAnsi="仿宋_GB2312" w:cs="仿宋_GB2312" w:eastAsia="仿宋_GB2312"/>
                      <w:sz w:val="18"/>
                    </w:rPr>
                    <w:t>展示。自动智能识别高值排放区域，自动跟踪并分析异常污染特征，掌握变化规律。为属地发现异常排放区域、了解污染排放规律、落实污染控制和执法，提供强有力的技术支撑。</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重点区域精细化监管系统</w:t>
                  </w:r>
                  <w:r>
                    <w:rPr>
                      <w:rFonts w:ascii="仿宋_GB2312" w:hAnsi="仿宋_GB2312" w:cs="仿宋_GB2312" w:eastAsia="仿宋_GB2312"/>
                      <w:sz w:val="18"/>
                    </w:rPr>
                    <w:t>服务</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自动分析重点区域污染主要来源区域及行业，量化贡献率，实现靶向治理。</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污染原因实时解析与量化系统</w:t>
                  </w:r>
                  <w:r>
                    <w:rPr>
                      <w:rFonts w:ascii="仿宋_GB2312" w:hAnsi="仿宋_GB2312" w:cs="仿宋_GB2312" w:eastAsia="仿宋_GB2312"/>
                      <w:sz w:val="18"/>
                    </w:rPr>
                    <w:t>服务</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基于不同类型污染源排放行为的数据，进行规律挖掘和知识总结，形成污染源排放知识库；量化气象、地形对城市大气污染贡献，明确本地污染排放的影响及重点影响区域。</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污染过程分析系统</w:t>
                  </w:r>
                  <w:r>
                    <w:rPr>
                      <w:rFonts w:ascii="仿宋_GB2312" w:hAnsi="仿宋_GB2312" w:cs="仿宋_GB2312" w:eastAsia="仿宋_GB2312"/>
                      <w:sz w:val="18"/>
                    </w:rPr>
                    <w:t>服务</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从污染传输、本地污染影响、浓度变化趋势、空间分布特征、气象要素影响等多维度对留坝县典型污染过程空气质量变化规律和成因特点进行综合分析。对典型污染过程进行智能认知分析，为重污染过程的应急指挥及措施制定，提供决策依据。</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空气质量</w:t>
                  </w:r>
                  <w:r>
                    <w:rPr>
                      <w:rFonts w:ascii="仿宋_GB2312" w:hAnsi="仿宋_GB2312" w:cs="仿宋_GB2312" w:eastAsia="仿宋_GB2312"/>
                      <w:sz w:val="18"/>
                    </w:rPr>
                    <w:t>监管</w:t>
                  </w:r>
                  <w:r>
                    <w:rPr>
                      <w:rFonts w:ascii="仿宋_GB2312" w:hAnsi="仿宋_GB2312" w:cs="仿宋_GB2312" w:eastAsia="仿宋_GB2312"/>
                      <w:sz w:val="18"/>
                    </w:rPr>
                    <w:t>工作</w:t>
                  </w:r>
                  <w:r>
                    <w:rPr>
                      <w:rFonts w:ascii="仿宋_GB2312" w:hAnsi="仿宋_GB2312" w:cs="仿宋_GB2312" w:eastAsia="仿宋_GB2312"/>
                      <w:sz w:val="18"/>
                    </w:rPr>
                    <w:t>APP</w:t>
                  </w:r>
                  <w:r>
                    <w:rPr>
                      <w:rFonts w:ascii="仿宋_GB2312" w:hAnsi="仿宋_GB2312" w:cs="仿宋_GB2312" w:eastAsia="仿宋_GB2312"/>
                      <w:sz w:val="18"/>
                    </w:rPr>
                    <w:t>系统</w:t>
                  </w:r>
                </w:p>
              </w:tc>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提供热点网格监管平台手机</w:t>
                  </w:r>
                  <w:r>
                    <w:rPr>
                      <w:rFonts w:ascii="仿宋_GB2312" w:hAnsi="仿宋_GB2312" w:cs="仿宋_GB2312" w:eastAsia="仿宋_GB2312"/>
                      <w:sz w:val="18"/>
                    </w:rPr>
                    <w:t>APP</w:t>
                  </w:r>
                  <w:r>
                    <w:rPr>
                      <w:rFonts w:ascii="仿宋_GB2312" w:hAnsi="仿宋_GB2312" w:cs="仿宋_GB2312" w:eastAsia="仿宋_GB2312"/>
                      <w:sz w:val="18"/>
                    </w:rPr>
                    <w:t>日常工作监管等。</w:t>
                  </w:r>
                </w:p>
              </w:tc>
            </w:tr>
          </w:tbl>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提供</w:t>
            </w:r>
            <w:r>
              <w:rPr>
                <w:rFonts w:ascii="仿宋_GB2312" w:hAnsi="仿宋_GB2312" w:cs="仿宋_GB2312" w:eastAsia="仿宋_GB2312"/>
              </w:rPr>
              <w:t>大数据分析服务</w:t>
            </w:r>
          </w:p>
          <w:p>
            <w:pPr>
              <w:pStyle w:val="null3"/>
              <w:ind w:firstLine="400"/>
            </w:pPr>
            <w:r>
              <w:rPr>
                <w:rFonts w:ascii="仿宋_GB2312" w:hAnsi="仿宋_GB2312" w:cs="仿宋_GB2312" w:eastAsia="仿宋_GB2312"/>
              </w:rPr>
              <w:t>项目需</w:t>
            </w:r>
            <w:r>
              <w:rPr>
                <w:rFonts w:ascii="仿宋_GB2312" w:hAnsi="仿宋_GB2312" w:cs="仿宋_GB2312" w:eastAsia="仿宋_GB2312"/>
              </w:rPr>
              <w:t>结合卫星遥感、气象数据、其他类型监管数据，</w:t>
            </w:r>
            <w:r>
              <w:rPr>
                <w:rFonts w:ascii="仿宋_GB2312" w:hAnsi="仿宋_GB2312" w:cs="仿宋_GB2312" w:eastAsia="仿宋_GB2312"/>
              </w:rPr>
              <w:t>提供</w:t>
            </w:r>
            <w:r>
              <w:rPr>
                <w:rFonts w:ascii="仿宋_GB2312" w:hAnsi="仿宋_GB2312" w:cs="仿宋_GB2312" w:eastAsia="仿宋_GB2312"/>
              </w:rPr>
              <w:t>研判会商服务，服务包括但不限于：提供留坝县空气质量周报、月报和</w:t>
            </w:r>
            <w:r>
              <w:rPr>
                <w:rFonts w:ascii="仿宋_GB2312" w:hAnsi="仿宋_GB2312" w:cs="仿宋_GB2312" w:eastAsia="仿宋_GB2312"/>
              </w:rPr>
              <w:t>年度</w:t>
            </w:r>
            <w:r>
              <w:rPr>
                <w:rFonts w:ascii="仿宋_GB2312" w:hAnsi="仿宋_GB2312" w:cs="仿宋_GB2312" w:eastAsia="仿宋_GB2312"/>
              </w:rPr>
              <w:t>分析报告、专题分析报告、提供具有建设性的空气质量改善意见和管控措施、提供部门与属地的监管支持和培训等。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法定代表人直接参加磋商的，出具法定代表人身份证；法定代表人授权代表参加磋商的，出具法定代表人授权书及授权代表身份证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一、评审内容：针对本项目概况及需求对本项目进行分析理解，包括：①项目概况及服务周期；②项目建设目标；③项目需求情况等。二、评审标准：①完整性：方案须全面，对评审内容中的各项要求有详细描述；②可实施性：切合本项目实际情况，提出步骤清晰、合理的方案；③针对性：方案能够紧扣项目实际情况，内容科学合理。三、赋分标准：①项目概况及服务周期：每完全满足一个评审标准得1分，满分3分；②项目建设目标：每完全满足一个评审标准得1分，满分3分；③项目需求情况：每完全满足一个评审标准得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投标人针对本项目提供运维服务方案。包括：①运维服务计划；②运维规范；③现场运维方案；④远端运维方案。二、评审标准：①完整性：方案须全面，对评审内容中的各项要求有详细描述；②可实施性：切合本项目实际情况，提出步骤清晰、合理的方案；③针对性：方案能够紧扣项目实际情况，内容科学合理。三、赋分标准：①运维服务计划：每完全满足一个评审标准得1.5分，满分4.5分；②运维规范：每完全满足一个评审标准得1.5分，满分4.5分；③现场运维方案：每完全满足一个评审标准得得1.5分，满分4.5分；④远端运维方案：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一、评审内容：投标人针对本项目提供拟投入的团队人员及设备配置方案。包括①人员组成及类似项目经历；②岗位职责；③团队管理制度；④人员组织安排计划；⑤团队监督机制等方面。二、评审标准：①完整性：方案须全面，对评审内容中的各项要求有详细描述；②可实施性：切合本项目实际情况，提出步骤清晰、合理的方案；③针对性：方案能够紧扣项目实际情况，内容科学合理。三、赋分标准：①人员组成及类似项目经历：每完全满足一个评审标准得1.4分，满分4.2分；②岗位职责：每完全满足一个评审标准得1.4分，满分4.2分；③团队管理制度：每完全满足一个评审标准得1.4分，满分4.2分；④人员组织安排计划：每完全满足一个评审标准得1.4分，满分4.2分；⑤团队监督机制等方面：每完全满足一个评审标准得1.4分，满分4.2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②关键性技术问题应对措施；③质量监管措施；④质量保障承诺等方面。二、评审标准：①完整性：方案须全面，对评审内容中的各项要求有详细描述；②可实施性：切合本项目实际情况，提出步骤清晰、合理的方案；③针对性：方案能够紧扣项目实际情况，内容科学合理。三、赋分标准：①针对本项目的质量保障措施：每完全满足一个评审标准得1分，满分3分；②关键性技术问题应对措施：每完全满足一个评审标准得1分，满分3分；③质量监管措施：每完全满足一个评审标准得1分，满分3分；④质量保障承诺等方面：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一、评审内容：针对项目实施过程中，因特殊情况对项目的要求有特殊的应急服务，制定相应的处理方案。包括：①应急保障处理原则；②应急保障预案；③应急资源调度。二、评审标准：①完整性：方案须全面，对评审内容中的各项要求有详细描述；②可实施性：切合本项目实际情况，提出步骤清晰、合理的方案；③针对性：方案能够紧扣项目实际情况，内容科学合理。三、赋分标准：①应急保障处理原则：每完全满足一个评审标准得1分，满分3分；②应急保障预案：每完全满足一个评审标准得1分，满分3分；③应急资源调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一、评审内容：对采购人技术人员及团队成员开展培训：包括：①培训目标；②培训计划；③培训措施等。二、评审标准：①完整性：方案须全面，对评审内容中的各项要求有详细描述；②可实施性：切合本项目实际情况，提出步骤清晰、合理的方案；③针对性：方案能够紧扣项目实际情况，内容科学合理。三、赋分标准：①培训目标：每完全满足一个评审标准得1分，满分3分；②培训计划：每完全满足一个评审标准得1分，满分3分；③培训措施：每完全满足一个评审标准得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针对本项目提出合理化建议、后续服务承诺。包括①合理化建议；②后续服务承诺。二、评审标准：1、完整性：方案须全面，对评审内容中的各项要求有详细描述；2、可实施性：切合本项目实际情况，提出步骤清晰、合理的方案；3、针对性：方案能够紧扣项目实际情况，内容科学合理。三、赋分标准：①合理化建议：每完全满足一个评审标准得1.5分，满分4.5分；②后续服务承诺：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一、评审内容：2022年1月1日以来承担类似项目业绩的，提供业绩合同或中标通知书复印件，时间以合同或中标通知书时间为准。二、赋分标准：每提供一份得1分，最多得3分。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详见附件：合同草案条款9.16.docx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