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版本号：SXWB-ZFCG-HZ-[2025]04920250916001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汉中市公安局交警支队高速公路大队宁强中队营房修缮项目工程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SXWB-ZFCG-HZ-[2025]049</w:t>
      </w:r>
      <w:r>
        <w:br/>
      </w:r>
      <w:r>
        <w:br/>
      </w:r>
      <w:r>
        <w:br/>
      </w:r>
    </w:p>
    <w:p>
      <w:pPr>
        <w:pStyle w:val="null3"/>
        <w:jc w:val="center"/>
        <w:outlineLvl w:val="2"/>
      </w:pPr>
      <w:r>
        <w:rPr>
          <w:rFonts w:ascii="仿宋_GB2312" w:hAnsi="仿宋_GB2312" w:cs="仿宋_GB2312" w:eastAsia="仿宋_GB2312"/>
          <w:sz w:val="28"/>
          <w:b/>
        </w:rPr>
        <w:t>汉中市公安局交通警察支队高速公路大队</w:t>
      </w:r>
    </w:p>
    <w:p>
      <w:pPr>
        <w:pStyle w:val="null3"/>
        <w:jc w:val="center"/>
        <w:outlineLvl w:val="2"/>
      </w:pPr>
      <w:r>
        <w:rPr>
          <w:rFonts w:ascii="仿宋_GB2312" w:hAnsi="仿宋_GB2312" w:cs="仿宋_GB2312" w:eastAsia="仿宋_GB2312"/>
          <w:sz w:val="28"/>
          <w:b/>
        </w:rPr>
        <w:t>陕西万标项目管理有限公司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陕西万标项目管理有限公司</w:t>
      </w:r>
      <w:r>
        <w:rPr>
          <w:rFonts w:ascii="仿宋_GB2312" w:hAnsi="仿宋_GB2312" w:cs="仿宋_GB2312" w:eastAsia="仿宋_GB2312"/>
        </w:rPr>
        <w:t>（以下简称“代理机构”）受</w:t>
      </w:r>
      <w:r>
        <w:rPr>
          <w:rFonts w:ascii="仿宋_GB2312" w:hAnsi="仿宋_GB2312" w:cs="仿宋_GB2312" w:eastAsia="仿宋_GB2312"/>
        </w:rPr>
        <w:t>汉中市公安局交通警察支队高速公路大队</w:t>
      </w:r>
      <w:r>
        <w:rPr>
          <w:rFonts w:ascii="仿宋_GB2312" w:hAnsi="仿宋_GB2312" w:cs="仿宋_GB2312" w:eastAsia="仿宋_GB2312"/>
        </w:rPr>
        <w:t>委托，拟对</w:t>
      </w:r>
      <w:r>
        <w:rPr>
          <w:rFonts w:ascii="仿宋_GB2312" w:hAnsi="仿宋_GB2312" w:cs="仿宋_GB2312" w:eastAsia="仿宋_GB2312"/>
        </w:rPr>
        <w:t>汉中市公安局交警支队高速公路大队宁强中队营房修缮项目工程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SXWB-ZFCG-HZ-[2025]049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汉中市公安局交警支队高速公路大队宁强中队营房修缮项目工程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汉中市公安局交通警察支队高速公路交警大队宁强中队营房维修改造工程，改造面积约1864m²，主要改造内容：餐厅改造、办公楼改造、宿舍楼改造，水电改造等。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采购包1（汉中市公安局交警支队高速公路大队宁强中队营房修缮项目工程）：属于专门面向中小企业采购。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2、营业执照：具有独立承担民事责任能力的法人、其他组织或自然人，并出具合法有效的营业执照或事业单位法人证书等国家规定的相关证明，自然人参与的提供其身份证明；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3、供应商资质及拟派项目负责人资格：供应商须具有建设行政主管部门颁发的建筑工程施工总承包三级及以上资质，具有有效的安全生产许可证；拟派项目经理须具有建筑工程专业注册建造师二级及以上资格和安全生产考核合格B证，且无在建项目；</w:t>
      </w:r>
    </w:p>
    <w:p>
      <w:pPr>
        <w:pStyle w:val="null3"/>
      </w:pPr>
      <w:r>
        <w:rPr>
          <w:rFonts w:ascii="仿宋_GB2312" w:hAnsi="仿宋_GB2312" w:cs="仿宋_GB2312" w:eastAsia="仿宋_GB2312"/>
        </w:rPr>
        <w:t>4、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汉中市公安局交通警察支队高速公路大队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汉中市南郑区大河坎镇苏家山村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汉中市公安局交通警察支队高速公路大队经办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13399166798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汉中市汉台区西环路中段鑫辉西部建材城二单元七楼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0916-8820039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开户名称：陕西万标项目管理有限公司</w:t>
            </w:r>
          </w:p>
          <w:p>
            <w:pPr>
              <w:pStyle w:val="null3"/>
            </w:pPr>
            <w:r>
              <w:rPr>
                <w:rFonts w:ascii="仿宋_GB2312" w:hAnsi="仿宋_GB2312" w:cs="仿宋_GB2312" w:eastAsia="仿宋_GB2312"/>
              </w:rPr>
              <w:t>开户银行：中国建设银行股份有限公司汉中北一环路支行</w:t>
            </w:r>
          </w:p>
          <w:p>
            <w:pPr>
              <w:pStyle w:val="null3"/>
            </w:pPr>
            <w:r>
              <w:rPr>
                <w:rFonts w:ascii="仿宋_GB2312" w:hAnsi="仿宋_GB2312" w:cs="仿宋_GB2312" w:eastAsia="仿宋_GB2312"/>
              </w:rPr>
              <w:t>银行账号：6105 0165 3800 0000 0437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标代理服务收费管理暂行办法的通知》(计价格【2002】1980号)和国家发改委办公厅国发的《关于招标代理服务收费有关问题的通知》(发改办价格【2003】857号)文件规定的收费标准收取。由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汉中市公安局交通警察支队高速公路大队</w:t>
      </w:r>
      <w:r>
        <w:rPr>
          <w:rFonts w:ascii="仿宋_GB2312" w:hAnsi="仿宋_GB2312" w:cs="仿宋_GB2312" w:eastAsia="仿宋_GB2312"/>
        </w:rPr>
        <w:t>和</w:t>
      </w:r>
      <w:r>
        <w:rPr>
          <w:rFonts w:ascii="仿宋_GB2312" w:hAnsi="仿宋_GB2312" w:cs="仿宋_GB2312" w:eastAsia="仿宋_GB2312"/>
        </w:rPr>
        <w:t>陕西万标项目管理有限公司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汉中市公安局交通警察支队高速公路大队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汉中市公安局交通警察支队高速公路大队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联系电话：0916-8820039</w:t>
      </w:r>
    </w:p>
    <w:p>
      <w:pPr>
        <w:pStyle w:val="null3"/>
      </w:pPr>
      <w:r>
        <w:rPr>
          <w:rFonts w:ascii="仿宋_GB2312" w:hAnsi="仿宋_GB2312" w:cs="仿宋_GB2312" w:eastAsia="仿宋_GB2312"/>
        </w:rPr>
        <w:t>地址：汉中市汉台区西环路中段鑫辉西部建材城二单元七楼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1,840,000.00</w:t>
      </w:r>
    </w:p>
    <w:p>
      <w:pPr>
        <w:pStyle w:val="null3"/>
      </w:pPr>
      <w:r>
        <w:rPr>
          <w:rFonts w:ascii="仿宋_GB2312" w:hAnsi="仿宋_GB2312" w:cs="仿宋_GB2312" w:eastAsia="仿宋_GB2312"/>
        </w:rPr>
        <w:t>采购包最高限价（元）: 1,836,282.28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1840000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1,840,000.00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标的名称：1840000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1"/>
              </w:rPr>
              <w:t>一、工程概况</w:t>
            </w:r>
          </w:p>
          <w:p>
            <w:pPr>
              <w:pStyle w:val="null3"/>
              <w:ind w:firstLine="560"/>
              <w:jc w:val="both"/>
            </w:pPr>
            <w:r>
              <w:rPr>
                <w:rFonts w:ascii="仿宋_GB2312" w:hAnsi="仿宋_GB2312" w:cs="仿宋_GB2312" w:eastAsia="仿宋_GB2312"/>
                <w:sz w:val="21"/>
              </w:rPr>
              <w:t>本工程为汉中市公安局交警支队高速公路大队宁强中队营房修缮项目工程，改造面积约1864m²。主要工作内容包括：1.</w:t>
            </w:r>
            <w:r>
              <w:rPr>
                <w:rFonts w:ascii="仿宋_GB2312" w:hAnsi="仿宋_GB2312" w:cs="仿宋_GB2312" w:eastAsia="仿宋_GB2312"/>
                <w:sz w:val="21"/>
              </w:rPr>
              <w:t>餐厅改造：拆除原屋面防水层，新做屋面卷材防水。拆除原外墙石质墙面，新做真石漆外墙饰面，铲除原内墙乳胶漆墙面，重新喷刷乳胶漆。新做硅酸盖板吊顶、大理石踢脚线。电气线路改造维修。给排水改造等。2.</w:t>
            </w:r>
            <w:r>
              <w:rPr>
                <w:rFonts w:ascii="仿宋_GB2312" w:hAnsi="仿宋_GB2312" w:cs="仿宋_GB2312" w:eastAsia="仿宋_GB2312"/>
                <w:sz w:val="21"/>
              </w:rPr>
              <w:t>办公楼改造：拆除原屋面防水层，新做屋面卷材防水。拆除原外墙石质墙面，新做真石漆外墙饰面，铲除原内墙乳胶漆墙面，重新喷刷乳胶漆。铲除原卫生间地砖及</w:t>
            </w:r>
            <w:r>
              <w:rPr>
                <w:rFonts w:ascii="仿宋_GB2312" w:hAnsi="仿宋_GB2312" w:cs="仿宋_GB2312" w:eastAsia="仿宋_GB2312"/>
                <w:sz w:val="21"/>
              </w:rPr>
              <w:t>墙砖，新做卫生间地面防水及地砖和墙砖。新做硅酸盖板吊顶、大理石踢脚线。电气线路改造维修。给排水改造等。3.3F宿舍楼改造：拆除原铝板挑檐装饰。拆除原屋面防水层，新做屋面卷材防水。拆除原外墙快料墙面，新做真石漆外墙饰面及外墙防水。铲除原内墙乳胶漆墙面，重新喷刷乳胶漆。铲除原卫生间地砖及墙砖，新做卫生间地面防水及地砖和墙砖。新做硅酸盖板吊顶、卫生间铝扣板吊顶、大理石踢脚线。电气线路改造维修。给排水改造等。4.4F宿舍楼改造：拆除原铝板挑檐装饰。拆除原屋面防水层，新做屋面卷材防水。拆除原外墙快料墙面，新做真石漆外墙饰面及外墙防水。铲除原内墙乳胶漆墙面，重新喷刷乳胶漆。铲除原卫生间地砖及墙砖，新做卫生间地面防水及地砖和墙砖。新做硅酸盖板吊顶、卫生间铝扣板吊顶、大理石踢脚线。电气线路改造维修。给排水改造等。（具体详见本项目工程量清单）</w:t>
            </w:r>
          </w:p>
          <w:p>
            <w:pPr>
              <w:pStyle w:val="null3"/>
              <w:numPr>
                <w:ilvl w:val="0"/>
                <w:numId w:val="1"/>
              </w:numPr>
              <w:jc w:val="both"/>
            </w:pPr>
            <w:r>
              <w:rPr>
                <w:rFonts w:ascii="仿宋_GB2312" w:hAnsi="仿宋_GB2312" w:cs="仿宋_GB2312" w:eastAsia="仿宋_GB2312"/>
                <w:sz w:val="21"/>
              </w:rPr>
              <w:t>二、编制依据</w:t>
            </w:r>
          </w:p>
          <w:p>
            <w:pPr>
              <w:pStyle w:val="null3"/>
              <w:ind w:firstLine="560"/>
              <w:jc w:val="both"/>
            </w:pPr>
            <w:r>
              <w:rPr>
                <w:rFonts w:ascii="仿宋_GB2312" w:hAnsi="仿宋_GB2312" w:cs="仿宋_GB2312" w:eastAsia="仿宋_GB2312"/>
                <w:sz w:val="21"/>
              </w:rPr>
              <w:t>1.2009《陕西省建筑工程工程量清单计价规则》；</w:t>
            </w:r>
          </w:p>
          <w:p>
            <w:pPr>
              <w:pStyle w:val="null3"/>
              <w:ind w:firstLine="560"/>
              <w:jc w:val="both"/>
            </w:pPr>
            <w:r>
              <w:rPr>
                <w:rFonts w:ascii="仿宋_GB2312" w:hAnsi="仿宋_GB2312" w:cs="仿宋_GB2312" w:eastAsia="仿宋_GB2312"/>
                <w:sz w:val="21"/>
              </w:rPr>
              <w:t>2.汉中市公安局交警支队高速公路大队宁强中队营房修缮项目工程施工设</w:t>
            </w:r>
            <w:r>
              <w:rPr>
                <w:rFonts w:ascii="仿宋_GB2312" w:hAnsi="仿宋_GB2312" w:cs="仿宋_GB2312" w:eastAsia="仿宋_GB2312"/>
                <w:sz w:val="21"/>
              </w:rPr>
              <w:t>计图；</w:t>
            </w:r>
          </w:p>
          <w:p>
            <w:pPr>
              <w:pStyle w:val="null3"/>
              <w:ind w:firstLine="560"/>
              <w:jc w:val="both"/>
            </w:pPr>
            <w:r>
              <w:rPr>
                <w:rFonts w:ascii="仿宋_GB2312" w:hAnsi="仿宋_GB2312" w:cs="仿宋_GB2312" w:eastAsia="仿宋_GB2312"/>
                <w:sz w:val="21"/>
              </w:rPr>
              <w:t>3.《陕西省建筑装饰、安装、市政、园林绿化、景观工程消耗量定额（2004）》、《陕西省建筑装饰、安装、市政、园林绿化、景观工程价目表2009》、《全国修缮定额土建工程陕西省价目表2001》及配套使用的相关计价文件，及其他相关计价依据等依据；</w:t>
            </w:r>
          </w:p>
          <w:p>
            <w:pPr>
              <w:pStyle w:val="null3"/>
              <w:ind w:firstLine="560"/>
              <w:jc w:val="both"/>
            </w:pPr>
            <w:r>
              <w:rPr>
                <w:rFonts w:ascii="仿宋_GB2312" w:hAnsi="仿宋_GB2312" w:cs="仿宋_GB2312" w:eastAsia="仿宋_GB2312"/>
                <w:sz w:val="21"/>
              </w:rPr>
              <w:t>4.该工程按照陕建发【2017】270号文件，增加扬尘污染治理费；</w:t>
            </w:r>
          </w:p>
          <w:p>
            <w:pPr>
              <w:pStyle w:val="null3"/>
              <w:ind w:firstLine="560"/>
              <w:jc w:val="both"/>
            </w:pPr>
            <w:r>
              <w:rPr>
                <w:rFonts w:ascii="仿宋_GB2312" w:hAnsi="仿宋_GB2312" w:cs="仿宋_GB2312" w:eastAsia="仿宋_GB2312"/>
                <w:sz w:val="21"/>
              </w:rPr>
              <w:t>5.该工程按照陕建发〔2021）1097号文件调整人工单价（综合人工136.00元/工日，装饰人工146.00元/工日）；</w:t>
            </w:r>
          </w:p>
          <w:p>
            <w:pPr>
              <w:pStyle w:val="null3"/>
              <w:ind w:firstLine="560"/>
              <w:jc w:val="both"/>
            </w:pPr>
            <w:r>
              <w:rPr>
                <w:rFonts w:ascii="仿宋_GB2312" w:hAnsi="仿宋_GB2312" w:cs="仿宋_GB2312" w:eastAsia="仿宋_GB2312"/>
                <w:sz w:val="21"/>
              </w:rPr>
              <w:t>6.该工程执行陕建规发【2016】100号文件《关于调整陕西省建设工程计价依据的通知》（营改增）；</w:t>
            </w:r>
          </w:p>
          <w:p>
            <w:pPr>
              <w:pStyle w:val="null3"/>
              <w:ind w:firstLine="560"/>
              <w:jc w:val="both"/>
            </w:pPr>
            <w:r>
              <w:rPr>
                <w:rFonts w:ascii="仿宋_GB2312" w:hAnsi="仿宋_GB2312" w:cs="仿宋_GB2312" w:eastAsia="仿宋_GB2312"/>
                <w:sz w:val="21"/>
              </w:rPr>
              <w:t>7.该工程税金费率执行陕建发【2019】45号文件《关于调整建设工程计价依据增值税税率的通知》；</w:t>
            </w:r>
          </w:p>
          <w:p>
            <w:pPr>
              <w:pStyle w:val="null3"/>
              <w:ind w:firstLine="560"/>
              <w:jc w:val="both"/>
            </w:pPr>
            <w:r>
              <w:rPr>
                <w:rFonts w:ascii="仿宋_GB2312" w:hAnsi="仿宋_GB2312" w:cs="仿宋_GB2312" w:eastAsia="仿宋_GB2312"/>
                <w:sz w:val="21"/>
              </w:rPr>
              <w:t>8.该工程执行陕建价统发【2019】64号文件《关于发布我省落实建筑工人实名制管理计价依据的通知》；</w:t>
            </w:r>
          </w:p>
          <w:p>
            <w:pPr>
              <w:pStyle w:val="null3"/>
              <w:ind w:firstLine="560"/>
              <w:jc w:val="both"/>
            </w:pPr>
            <w:r>
              <w:rPr>
                <w:rFonts w:ascii="仿宋_GB2312" w:hAnsi="仿宋_GB2312" w:cs="仿宋_GB2312" w:eastAsia="仿宋_GB2312"/>
                <w:sz w:val="21"/>
              </w:rPr>
              <w:t>9.该工程规费执行陕建发【2020】1097号文件《关于建筑施工安全生产责任保险费用计价的通知》；</w:t>
            </w:r>
          </w:p>
          <w:p>
            <w:pPr>
              <w:pStyle w:val="null3"/>
              <w:ind w:firstLine="560"/>
              <w:jc w:val="both"/>
            </w:pPr>
            <w:r>
              <w:rPr>
                <w:rFonts w:ascii="仿宋_GB2312" w:hAnsi="仿宋_GB2312" w:cs="仿宋_GB2312" w:eastAsia="仿宋_GB2312"/>
                <w:sz w:val="21"/>
              </w:rPr>
              <w:t>10.主要材料价按汉中市工程造价管理办公室发布的《汉中建设工程造价信息》2025年第5期材料价、当前建筑材料市场价综合计入。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工程质量达到建筑工程施工质量验收规范合格标准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1.工期：90日历天； 2.项目建设地点：汉中市公安局交警支队高速公路大队宁强中队；3.质保期：1年；3.投标报价要求：（1）供应商应充分考虑采购文件的各项条款、项目现场实际情况、供应商所掌握的市场情况及现行有关政策法规的要求，根据企业自身情况及上述要求自主做出填报投标总价及全费用单价报价；（2）供应商投标报价中的价格均包括完成该工程的人工费、材料费、机械使用费企业管理费、利润、分部分项工程费、措施费、其他项目费、规费、税金以及合同中明示或暗示的所有风险、责任和义务等全部费用。（3）投标报价时各供应商应根据文件说明、做法、施工组织设计、施工验收规范现场条件、工程特点等内容编制投标报价。</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供应商需在项目电子化交易系统中按要求提供《汉中市政府采购供应商资格承诺函》完成承诺并进行电子签章。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供应商资质及拟派项目负责人资格</w:t>
            </w:r>
          </w:p>
        </w:tc>
        <w:tc>
          <w:tcPr>
            <w:tcW w:type="dxa" w:w="3322"/>
          </w:tcPr>
          <w:p>
            <w:pPr>
              <w:pStyle w:val="null3"/>
            </w:pPr>
            <w:r>
              <w:rPr>
                <w:rFonts w:ascii="仿宋_GB2312" w:hAnsi="仿宋_GB2312" w:cs="仿宋_GB2312" w:eastAsia="仿宋_GB2312"/>
              </w:rPr>
              <w:t>供应商须具有建设行政主管部门颁发的建筑工程施工总承包三级及以上资质，具有有效的安全生产许可证；拟派项目经理须具有建筑工程专业注册建造师二级及以上资格和安全生产考核合格B证，且无在建项目；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响应文件封面 供应商应提交的相关资格证明材料.docx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提供针对本项目的实施方案，充分了解项目需求，就其方案是否合理科学及措施得当，是否针对本项目实施提出重点、难点并给出相应的解决方案，进度安排、责任分工明确，方案可行、全面得7.1-10分；方案基本合理可行，但内容不全得3.1-7分；方案欠缺、不利于实施得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根据供应商的工作质量的控制、保证体系及保证措施的完善性和合理性进行评价。方案科学合理、可行、全面计7.1-10分；方案基本合理可行计3.1-7分，方案欠缺、不利于实施计0.1-3分，未提供不计分。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根据供应商的施工安全保证体系及保证措施的完善性和合理性进行评价。方案科学合理、可行、全面计7.1-10分；方案基本合理可行计3.1-7分，方案欠缺、不利于实施计0.1-3分，未提供不计分。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项目总体进度计划安排具有合理性、先进性、可靠性和安全性。方案科学合理、可行、全面计7.1-10分；方案基本合理可行计3.1-7分，方案欠缺、不利于实施计0.1-3分，未提供不计分。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供应商针对本项目编制的文明施工及环境保护措施的完善性和合理性进行评价。方案科学合理、可行、全面计7.1-10分；方案基本合理可行计3.1-7分，方案欠缺、不利于实施计0.1-3分，未提供不计分。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投标人针对本项目有具体的配置人员专业、数量、职称及具有相关经验，详细的实施人员安排，分工合理、责任明确。方案科学合理、可行、全面计7.1-10分；方案基本合理可行计3.1-7分，方案欠缺、不利于实施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提供2022年至今类似项目业绩，响应文件中附有其业绩证明材料（中标通知书或合同复印件加盖公章）每提供一个计2.5分，满分5分。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质量保修承诺完整、合理及后续服务条款具体、可行，得2.1-5分；质量保修承诺含糊及后续服务条款基本可行，得0.1-2分，未提供不计分。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价格分统一采用低价优先法计算，即满足采购文件要求且投标价格最低的投标报价为评标基准价，其价格分为满分。其他投标人的价格分统一按照下列公式计算： 价格分=(评标基准价／投标报价)×报价分值 注：本项目专门面向中小企业采购，评审时不再进行价格扣除。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