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根据《中华人民共和国合同法》、《中华人民共和国建筑法》及有关法律规定，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p w14:paraId="72DC6B21">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FE3D87"/>
    <w:rsid w:val="61FE3D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2025-09-16T03:10:00Z</dcterms:created>
  <dc:creator>WPS_1503541189</dc:creator>
  <cp:lastModifiedBy>WPS_1503541189</cp:lastModifiedBy>
  <dcterms:modified xsi:type="dcterms:W3CDTF">2025-09-16T03:11:09Z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35DD8A6FB2CB47BC9C606EC827FF7054_11</vt:lpwstr>
  </property>
  <property fmtid="{D5CDD505-2E9C-101B-9397-08002B2CF9AE}" pid="4" name="KSOTemplateDocerSaveRecord">
    <vt:lpwstr>eyJoZGlkIjoiZTQ2YzI1MjYyNGVjMmE3ZDZiZGMzNTliNTI3YWQ3MTYiLCJ1c2VySWQiOiIyOTc0MDIwNjgifQ==</vt:lpwstr>
  </property>
</Properties>
</file>