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版本号：HZJ-HZ-2025-00220250923003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低碳场景打造项目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HZJ-HZ-2025-002</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华智建项目管理有限公司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华智建项目管理有限公司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低碳场景打造项目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HZJ-HZ-2025-002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低碳场景打造项目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 xml:space="preserve"> 在玉皇庙、火烧店、武关驿镇栈道渔村实施光伏路灯改造327座、配置四分类智能垃圾分类箱15台，双分类垃圾箱20个；在游客服务中心配备低碳知识科普机器2个(Android7.1.1,整机采用一体式ELED背光，高透显示钢化玻璃，解码分辨率：最高分辨率≥1920*1080,外形尺寸≥1850*728.4*26(高*宽*最薄厚度),底座尺寸≥450*728*30MM,内存≥2G,固态硬盘≥16G,)和4个宣传展板1处(2040*2600mm宣传栏；材质：优质镀锌钢板、双面宣传图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采购包1（低碳场景打造项目）：属于专门面向小微企业采购。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信誉和财务要求：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3、法定代表人：法定代表人直接参加谈判的，出具法定代表人身份证；法定代表人授权代表参加谈判的，出具法定代表人授权书及授权代表身份证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陕西省西安市莲湖区陕西省西安市莲湖区丰庆路48号1幢308室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18291653336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开户名称：华智建项目管理有限公司汉中分公司</w:t>
            </w:r>
          </w:p>
          <w:p>
            <w:pPr>
              <w:pStyle w:val="null3"/>
            </w:pPr>
            <w:r>
              <w:rPr>
                <w:rFonts w:ascii="仿宋_GB2312" w:hAnsi="仿宋_GB2312" w:cs="仿宋_GB2312" w:eastAsia="仿宋_GB2312"/>
              </w:rPr>
              <w:t>开户银行：中国建设银行股份有限公司汉中前进东路支行</w:t>
            </w:r>
          </w:p>
          <w:p>
            <w:pPr>
              <w:pStyle w:val="null3"/>
            </w:pPr>
            <w:r>
              <w:rPr>
                <w:rFonts w:ascii="仿宋_GB2312" w:hAnsi="仿宋_GB2312" w:cs="仿宋_GB2312" w:eastAsia="仿宋_GB2312"/>
              </w:rPr>
              <w:t>银行账号：61050165004200000707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说明：为保证项目顺利实施，根据合同约定，现就履约保证金缴纳事宜说明如下： 一、缴纳要求 缴纳金额：合同金额的 3% 缴纳时间：合同签订前完成 二、缴纳方式 请选择以下任一方式缴纳： 银行转账或银行保函 三、保证金退还 按合同约定在履约期满且无违约情况下办理退还，具体以合同条款为准。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华智建项目管理有限公司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汉中市生态环境局留坝分局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华智建项目管理有限公司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华智建项目管理有限公司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联系人：曹宁</w:t>
      </w:r>
    </w:p>
    <w:p>
      <w:pPr>
        <w:pStyle w:val="null3"/>
      </w:pPr>
      <w:r>
        <w:rPr>
          <w:rFonts w:ascii="仿宋_GB2312" w:hAnsi="仿宋_GB2312" w:cs="仿宋_GB2312" w:eastAsia="仿宋_GB2312"/>
        </w:rPr>
        <w:t>联系电话：13335442150</w:t>
      </w:r>
    </w:p>
    <w:p>
      <w:pPr>
        <w:pStyle w:val="null3"/>
      </w:pPr>
      <w:r>
        <w:rPr>
          <w:rFonts w:ascii="仿宋_GB2312" w:hAnsi="仿宋_GB2312" w:cs="仿宋_GB2312" w:eastAsia="仿宋_GB2312"/>
        </w:rPr>
        <w:t>地址：陕西省西安市莲湖区丰庆路48号1幢308室</w:t>
      </w:r>
    </w:p>
    <w:p>
      <w:pPr>
        <w:pStyle w:val="null3"/>
      </w:pPr>
      <w:r>
        <w:rPr>
          <w:rFonts w:ascii="仿宋_GB2312" w:hAnsi="仿宋_GB2312" w:cs="仿宋_GB2312" w:eastAsia="仿宋_GB2312"/>
        </w:rPr>
        <w:t>邮编：710003</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玉皇庙、火烧店、武关驿镇栈道渔村实施光伏路灯改造327座、配置四分类智能垃圾分类箱15台，双分类垃圾箱20个；在游客服务中心配备低碳知识科普机器2个(Android7.1.1,整机采用一体式ELED背光，高透显示钢化玻璃，解码分辨率：最高分辨率≥1920*1080,外形尺寸≥1850*728.4*26(高*宽*最薄厚度),底座尺寸≥450*728*30MM,内存≥2G,固态硬盘≥16G,)和4个宣传展板1处(2040*2600mm宣传栏；材质：优质镀锌钢板、双面宣传图页)。</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1,282,700.00</w:t>
      </w:r>
    </w:p>
    <w:p>
      <w:pPr>
        <w:pStyle w:val="null3"/>
      </w:pPr>
      <w:r>
        <w:rPr>
          <w:rFonts w:ascii="仿宋_GB2312" w:hAnsi="仿宋_GB2312" w:cs="仿宋_GB2312" w:eastAsia="仿宋_GB2312"/>
        </w:rPr>
        <w:t>采购包最高限价（元）: 1,282,700.00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低碳场景打造项目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1,282,700.00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标的名称：低碳场景打造项目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一、路灯</w:t>
            </w:r>
          </w:p>
          <w:p>
            <w:pPr>
              <w:pStyle w:val="null3"/>
            </w:pPr>
            <w:r>
              <w:rPr>
                <w:rFonts w:ascii="仿宋_GB2312" w:hAnsi="仿宋_GB2312" w:cs="仿宋_GB2312" w:eastAsia="仿宋_GB2312"/>
              </w:rPr>
              <w:t xml:space="preserve"> 1、灯杆高：6m-8m；</w:t>
            </w:r>
          </w:p>
          <w:p>
            <w:pPr>
              <w:pStyle w:val="null3"/>
            </w:pPr>
            <w:r>
              <w:rPr>
                <w:rFonts w:ascii="仿宋_GB2312" w:hAnsi="仿宋_GB2312" w:cs="仿宋_GB2312" w:eastAsia="仿宋_GB2312"/>
              </w:rPr>
              <w:t xml:space="preserve"> 2、材质：壁厚≥2.5mm，整体表面热镀锌防腐处理，高硼硅光学95类型透镜，配置转接板；</w:t>
            </w:r>
          </w:p>
          <w:p>
            <w:pPr>
              <w:pStyle w:val="null3"/>
            </w:pPr>
            <w:r>
              <w:rPr>
                <w:rFonts w:ascii="仿宋_GB2312" w:hAnsi="仿宋_GB2312" w:cs="仿宋_GB2312" w:eastAsia="仿宋_GB2312"/>
              </w:rPr>
              <w:t xml:space="preserve"> 3、板子：≥100W，18v 高效转换晶硅电板；</w:t>
            </w:r>
          </w:p>
          <w:p>
            <w:pPr>
              <w:pStyle w:val="null3"/>
            </w:pPr>
            <w:r>
              <w:rPr>
                <w:rFonts w:ascii="仿宋_GB2312" w:hAnsi="仿宋_GB2312" w:cs="仿宋_GB2312" w:eastAsia="仿宋_GB2312"/>
              </w:rPr>
              <w:t xml:space="preserve"> 4、灯头： 1）、主光源：LED≥120W；</w:t>
            </w:r>
          </w:p>
          <w:p>
            <w:pPr>
              <w:pStyle w:val="null3"/>
            </w:pPr>
            <w:r>
              <w:rPr>
                <w:rFonts w:ascii="仿宋_GB2312" w:hAnsi="仿宋_GB2312" w:cs="仿宋_GB2312" w:eastAsia="仿宋_GB2312"/>
              </w:rPr>
              <w:t xml:space="preserve">                  2）、色温≥6000k；</w:t>
            </w:r>
          </w:p>
          <w:p>
            <w:pPr>
              <w:pStyle w:val="null3"/>
            </w:pPr>
            <w:r>
              <w:rPr>
                <w:rFonts w:ascii="仿宋_GB2312" w:hAnsi="仿宋_GB2312" w:cs="仿宋_GB2312" w:eastAsia="仿宋_GB2312"/>
              </w:rPr>
              <w:t xml:space="preserve">                  3）、灯珠≥160颗,单颗LM150；</w:t>
            </w:r>
          </w:p>
          <w:p>
            <w:pPr>
              <w:pStyle w:val="null3"/>
            </w:pPr>
            <w:r>
              <w:rPr>
                <w:rFonts w:ascii="仿宋_GB2312" w:hAnsi="仿宋_GB2312" w:cs="仿宋_GB2312" w:eastAsia="仿宋_GB2312"/>
              </w:rPr>
              <w:t xml:space="preserve">                  4）、显色指数（Ra）：≥70</w:t>
            </w:r>
          </w:p>
          <w:p>
            <w:pPr>
              <w:pStyle w:val="null3"/>
            </w:pPr>
            <w:r>
              <w:rPr>
                <w:rFonts w:ascii="仿宋_GB2312" w:hAnsi="仿宋_GB2312" w:cs="仿宋_GB2312" w:eastAsia="仿宋_GB2312"/>
              </w:rPr>
              <w:t xml:space="preserve">                  5）、眩光（cd/㎡）：＜10</w:t>
            </w:r>
          </w:p>
          <w:p>
            <w:pPr>
              <w:pStyle w:val="null3"/>
            </w:pPr>
            <w:r>
              <w:rPr>
                <w:rFonts w:ascii="仿宋_GB2312" w:hAnsi="仿宋_GB2312" w:cs="仿宋_GB2312" w:eastAsia="仿宋_GB2312"/>
              </w:rPr>
              <w:t xml:space="preserve">                  6）、光衰（五年）：≤10%</w:t>
            </w:r>
          </w:p>
          <w:p>
            <w:pPr>
              <w:pStyle w:val="null3"/>
            </w:pPr>
            <w:r>
              <w:rPr>
                <w:rFonts w:ascii="仿宋_GB2312" w:hAnsi="仿宋_GB2312" w:cs="仿宋_GB2312" w:eastAsia="仿宋_GB2312"/>
              </w:rPr>
              <w:t xml:space="preserve">                  7）、光束角：≥140°*75°</w:t>
            </w:r>
          </w:p>
          <w:p>
            <w:pPr>
              <w:pStyle w:val="null3"/>
            </w:pPr>
            <w:r>
              <w:rPr>
                <w:rFonts w:ascii="仿宋_GB2312" w:hAnsi="仿宋_GB2312" w:cs="仿宋_GB2312" w:eastAsia="仿宋_GB2312"/>
              </w:rPr>
              <w:t xml:space="preserve"> 5、电池：磷酸铁锂电池120-160AH/12V；</w:t>
            </w:r>
          </w:p>
          <w:p>
            <w:pPr>
              <w:pStyle w:val="null3"/>
            </w:pPr>
            <w:r>
              <w:rPr>
                <w:rFonts w:ascii="仿宋_GB2312" w:hAnsi="仿宋_GB2312" w:cs="仿宋_GB2312" w:eastAsia="仿宋_GB2312"/>
              </w:rPr>
              <w:t xml:space="preserve"> 6、设备质保期限：≥5年；</w:t>
            </w:r>
          </w:p>
          <w:p>
            <w:pPr>
              <w:pStyle w:val="null3"/>
            </w:pPr>
            <w:r>
              <w:rPr>
                <w:rFonts w:ascii="仿宋_GB2312" w:hAnsi="仿宋_GB2312" w:cs="仿宋_GB2312" w:eastAsia="仿宋_GB2312"/>
              </w:rPr>
              <w:t xml:space="preserve"> 7、防护等级：≥IP65，防水等级≥IPX6；</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二、路灯预埋件及组件(辅材)</w:t>
            </w:r>
          </w:p>
          <w:p>
            <w:pPr>
              <w:pStyle w:val="null3"/>
            </w:pPr>
            <w:r>
              <w:rPr>
                <w:rFonts w:ascii="仿宋_GB2312" w:hAnsi="仿宋_GB2312" w:cs="仿宋_GB2312" w:eastAsia="仿宋_GB2312"/>
              </w:rPr>
              <w:t xml:space="preserve"> 1、地脚螺栓规格：260mm*260mm*1mm，螺栓4*M16--4*M20；</w:t>
            </w:r>
          </w:p>
          <w:p>
            <w:pPr>
              <w:pStyle w:val="null3"/>
            </w:pPr>
            <w:r>
              <w:rPr>
                <w:rFonts w:ascii="仿宋_GB2312" w:hAnsi="仿宋_GB2312" w:cs="仿宋_GB2312" w:eastAsia="仿宋_GB2312"/>
              </w:rPr>
              <w:t xml:space="preserve"> 2、地脚螺栓高度：高度580mm-620mm；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三、路灯基础(辅材)</w:t>
            </w:r>
          </w:p>
          <w:p>
            <w:pPr>
              <w:pStyle w:val="null3"/>
            </w:pPr>
            <w:r>
              <w:rPr>
                <w:rFonts w:ascii="仿宋_GB2312" w:hAnsi="仿宋_GB2312" w:cs="仿宋_GB2312" w:eastAsia="仿宋_GB2312"/>
              </w:rPr>
              <w:t xml:space="preserve"> 1、土方工程：土方开挖、回填夯实；</w:t>
            </w:r>
          </w:p>
          <w:p>
            <w:pPr>
              <w:pStyle w:val="null3"/>
            </w:pPr>
            <w:r>
              <w:rPr>
                <w:rFonts w:ascii="仿宋_GB2312" w:hAnsi="仿宋_GB2312" w:cs="仿宋_GB2312" w:eastAsia="仿宋_GB2312"/>
              </w:rPr>
              <w:t xml:space="preserve"> 2、基础规格：≥80*80*80厘米；</w:t>
            </w:r>
          </w:p>
          <w:p>
            <w:pPr>
              <w:pStyle w:val="null3"/>
            </w:pPr>
            <w:r>
              <w:rPr>
                <w:rFonts w:ascii="仿宋_GB2312" w:hAnsi="仿宋_GB2312" w:cs="仿宋_GB2312" w:eastAsia="仿宋_GB2312"/>
              </w:rPr>
              <w:t xml:space="preserve"> 3、C25混凝土。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四、垃圾桶</w:t>
            </w:r>
          </w:p>
          <w:p>
            <w:pPr>
              <w:pStyle w:val="null3"/>
            </w:pPr>
            <w:r>
              <w:rPr>
                <w:rFonts w:ascii="仿宋_GB2312" w:hAnsi="仿宋_GB2312" w:cs="仿宋_GB2312" w:eastAsia="仿宋_GB2312"/>
              </w:rPr>
              <w:t xml:space="preserve"> 1、容积：≥0.038m³/个；</w:t>
            </w:r>
          </w:p>
          <w:p>
            <w:pPr>
              <w:pStyle w:val="null3"/>
            </w:pPr>
            <w:r>
              <w:rPr>
                <w:rFonts w:ascii="仿宋_GB2312" w:hAnsi="仿宋_GB2312" w:cs="仿宋_GB2312" w:eastAsia="仿宋_GB2312"/>
              </w:rPr>
              <w:t xml:space="preserve"> 2、材质：箱体1.5mm镀锌板，采用双折边加工，内外整体喷涂，丝印、地脚板固定件、304不锈钢插销、包含4个镀锌内胆（四分类）;</w:t>
            </w:r>
          </w:p>
          <w:p>
            <w:pPr>
              <w:pStyle w:val="null3"/>
            </w:pPr>
            <w:r>
              <w:rPr>
                <w:rFonts w:ascii="仿宋_GB2312" w:hAnsi="仿宋_GB2312" w:cs="仿宋_GB2312" w:eastAsia="仿宋_GB2312"/>
              </w:rPr>
              <w:t xml:space="preserve"> 3.制作、加工、焊接、裁剪、辅料及五金配件等；</w:t>
            </w:r>
          </w:p>
          <w:p>
            <w:pPr>
              <w:pStyle w:val="null3"/>
            </w:pPr>
            <w:r>
              <w:rPr>
                <w:rFonts w:ascii="仿宋_GB2312" w:hAnsi="仿宋_GB2312" w:cs="仿宋_GB2312" w:eastAsia="仿宋_GB2312"/>
              </w:rPr>
              <w:t xml:space="preserve"> 4、安装：膨胀螺丝固定于地面；</w:t>
            </w:r>
          </w:p>
          <w:p>
            <w:pPr>
              <w:pStyle w:val="null3"/>
            </w:pPr>
            <w:r>
              <w:rPr>
                <w:rFonts w:ascii="仿宋_GB2312" w:hAnsi="仿宋_GB2312" w:cs="仿宋_GB2312" w:eastAsia="仿宋_GB2312"/>
              </w:rPr>
              <w:t xml:space="preserve"> 5、质保期限：≥5年。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五、垃圾桶</w:t>
            </w:r>
          </w:p>
          <w:p>
            <w:pPr>
              <w:pStyle w:val="null3"/>
            </w:pPr>
            <w:r>
              <w:rPr>
                <w:rFonts w:ascii="仿宋_GB2312" w:hAnsi="仿宋_GB2312" w:cs="仿宋_GB2312" w:eastAsia="仿宋_GB2312"/>
              </w:rPr>
              <w:t xml:space="preserve"> 1、容积：≥0.038m³/个；</w:t>
            </w:r>
          </w:p>
          <w:p>
            <w:pPr>
              <w:pStyle w:val="null3"/>
            </w:pPr>
            <w:r>
              <w:rPr>
                <w:rFonts w:ascii="仿宋_GB2312" w:hAnsi="仿宋_GB2312" w:cs="仿宋_GB2312" w:eastAsia="仿宋_GB2312"/>
              </w:rPr>
              <w:t xml:space="preserve"> 2、材质：箱体1.5mm镀锌板，采用双折边加工，内外整体喷涂，丝印、地脚板固定件、304不锈钢插销、包含2个镀锌内胆（两分类）;</w:t>
            </w:r>
          </w:p>
          <w:p>
            <w:pPr>
              <w:pStyle w:val="null3"/>
            </w:pPr>
            <w:r>
              <w:rPr>
                <w:rFonts w:ascii="仿宋_GB2312" w:hAnsi="仿宋_GB2312" w:cs="仿宋_GB2312" w:eastAsia="仿宋_GB2312"/>
              </w:rPr>
              <w:t xml:space="preserve"> 3.制作、加工、焊接、裁剪、辅料及五金配件等；</w:t>
            </w:r>
          </w:p>
          <w:p>
            <w:pPr>
              <w:pStyle w:val="null3"/>
            </w:pPr>
            <w:r>
              <w:rPr>
                <w:rFonts w:ascii="仿宋_GB2312" w:hAnsi="仿宋_GB2312" w:cs="仿宋_GB2312" w:eastAsia="仿宋_GB2312"/>
              </w:rPr>
              <w:t xml:space="preserve"> 4、安装：膨胀螺丝固定于地面；</w:t>
            </w:r>
          </w:p>
          <w:p>
            <w:pPr>
              <w:pStyle w:val="null3"/>
            </w:pPr>
            <w:r>
              <w:rPr>
                <w:rFonts w:ascii="仿宋_GB2312" w:hAnsi="仿宋_GB2312" w:cs="仿宋_GB2312" w:eastAsia="仿宋_GB2312"/>
              </w:rPr>
              <w:t xml:space="preserve"> 5、质保期限：≥5年。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六、卧式一体机</w:t>
            </w:r>
          </w:p>
          <w:p>
            <w:pPr>
              <w:pStyle w:val="null3"/>
            </w:pPr>
            <w:r>
              <w:rPr>
                <w:rFonts w:ascii="仿宋_GB2312" w:hAnsi="仿宋_GB2312" w:cs="仿宋_GB2312" w:eastAsia="仿宋_GB2312"/>
              </w:rPr>
              <w:t xml:space="preserve"> 1、内存≥2G；</w:t>
            </w:r>
          </w:p>
          <w:p>
            <w:pPr>
              <w:pStyle w:val="null3"/>
            </w:pPr>
            <w:r>
              <w:rPr>
                <w:rFonts w:ascii="仿宋_GB2312" w:hAnsi="仿宋_GB2312" w:cs="仿宋_GB2312" w:eastAsia="仿宋_GB2312"/>
              </w:rPr>
              <w:t xml:space="preserve"> 2、固态硬盘≥16G；</w:t>
            </w:r>
          </w:p>
          <w:p>
            <w:pPr>
              <w:pStyle w:val="null3"/>
            </w:pPr>
            <w:r>
              <w:rPr>
                <w:rFonts w:ascii="仿宋_GB2312" w:hAnsi="仿宋_GB2312" w:cs="仿宋_GB2312" w:eastAsia="仿宋_GB2312"/>
              </w:rPr>
              <w:t xml:space="preserve"> 3、操作系统：Android7.1.1；</w:t>
            </w:r>
          </w:p>
          <w:p>
            <w:pPr>
              <w:pStyle w:val="null3"/>
            </w:pPr>
            <w:r>
              <w:rPr>
                <w:rFonts w:ascii="仿宋_GB2312" w:hAnsi="仿宋_GB2312" w:cs="仿宋_GB2312" w:eastAsia="仿宋_GB2312"/>
              </w:rPr>
              <w:t xml:space="preserve"> 4、显示器： 1）、整机采用一体式ELED背光；</w:t>
            </w:r>
          </w:p>
          <w:p>
            <w:pPr>
              <w:pStyle w:val="null3"/>
            </w:pPr>
            <w:r>
              <w:rPr>
                <w:rFonts w:ascii="仿宋_GB2312" w:hAnsi="仿宋_GB2312" w:cs="仿宋_GB2312" w:eastAsia="仿宋_GB2312"/>
              </w:rPr>
              <w:t xml:space="preserve">                     2）、高透显示钢化玻璃；</w:t>
            </w:r>
          </w:p>
          <w:p>
            <w:pPr>
              <w:pStyle w:val="null3"/>
            </w:pPr>
            <w:r>
              <w:rPr>
                <w:rFonts w:ascii="仿宋_GB2312" w:hAnsi="仿宋_GB2312" w:cs="仿宋_GB2312" w:eastAsia="仿宋_GB2312"/>
              </w:rPr>
              <w:t xml:space="preserve">                     3）、解码分辨率：分辨率≥1920*1080；</w:t>
            </w:r>
          </w:p>
          <w:p>
            <w:pPr>
              <w:pStyle w:val="null3"/>
            </w:pPr>
            <w:r>
              <w:rPr>
                <w:rFonts w:ascii="仿宋_GB2312" w:hAnsi="仿宋_GB2312" w:cs="仿宋_GB2312" w:eastAsia="仿宋_GB2312"/>
              </w:rPr>
              <w:t xml:space="preserve">                     4）、屏幕尺寸：≥55英寸；</w:t>
            </w:r>
          </w:p>
          <w:p>
            <w:pPr>
              <w:pStyle w:val="null3"/>
            </w:pPr>
            <w:r>
              <w:rPr>
                <w:rFonts w:ascii="仿宋_GB2312" w:hAnsi="仿宋_GB2312" w:cs="仿宋_GB2312" w:eastAsia="仿宋_GB2312"/>
              </w:rPr>
              <w:t xml:space="preserve">                     5）、触摸屏类型：电容/红外触摸；</w:t>
            </w:r>
          </w:p>
          <w:p>
            <w:pPr>
              <w:pStyle w:val="null3"/>
            </w:pPr>
            <w:r>
              <w:rPr>
                <w:rFonts w:ascii="仿宋_GB2312" w:hAnsi="仿宋_GB2312" w:cs="仿宋_GB2312" w:eastAsia="仿宋_GB2312"/>
              </w:rPr>
              <w:t xml:space="preserve">                     6)、是否触摸屏:是；</w:t>
            </w:r>
          </w:p>
          <w:p>
            <w:pPr>
              <w:pStyle w:val="null3"/>
            </w:pPr>
            <w:r>
              <w:rPr>
                <w:rFonts w:ascii="仿宋_GB2312" w:hAnsi="仿宋_GB2312" w:cs="仿宋_GB2312" w:eastAsia="仿宋_GB2312"/>
              </w:rPr>
              <w:t xml:space="preserve"> 5、质保期限：≥5年。</w:t>
            </w:r>
          </w:p>
          <w:p>
            <w:pPr>
              <w:pStyle w:val="null3"/>
            </w:pPr>
            <w:r>
              <w:rPr>
                <w:rFonts w:ascii="仿宋_GB2312" w:hAnsi="仿宋_GB2312" w:cs="仿宋_GB2312" w:eastAsia="仿宋_GB2312"/>
              </w:rPr>
              <w:t xml:space="preserve"> 6、充电方式：USB充电；</w:t>
            </w:r>
          </w:p>
          <w:p>
            <w:pPr>
              <w:pStyle w:val="null3"/>
            </w:pPr>
            <w:r>
              <w:rPr>
                <w:rFonts w:ascii="仿宋_GB2312" w:hAnsi="仿宋_GB2312" w:cs="仿宋_GB2312" w:eastAsia="仿宋_GB2312"/>
              </w:rPr>
              <w:t xml:space="preserve"> 7、接口：USB扩展/充电；</w:t>
            </w:r>
          </w:p>
          <w:p>
            <w:pPr>
              <w:pStyle w:val="null3"/>
            </w:pPr>
            <w:r>
              <w:rPr>
                <w:rFonts w:ascii="仿宋_GB2312" w:hAnsi="仿宋_GB2312" w:cs="仿宋_GB2312" w:eastAsia="仿宋_GB2312"/>
              </w:rPr>
              <w:t xml:space="preserve"> 8、内置WIFI</w:t>
            </w:r>
          </w:p>
          <w:p>
            <w:pPr>
              <w:pStyle w:val="null3"/>
            </w:pPr>
            <w:r>
              <w:rPr>
                <w:rFonts w:ascii="仿宋_GB2312" w:hAnsi="仿宋_GB2312" w:cs="仿宋_GB2312" w:eastAsia="仿宋_GB2312"/>
              </w:rPr>
              <w:t xml:space="preserve"> 9、安装方式:落地式安装；</w:t>
            </w:r>
          </w:p>
          <w:p>
            <w:pPr>
              <w:pStyle w:val="null3"/>
            </w:pPr>
            <w:r>
              <w:rPr>
                <w:rFonts w:ascii="仿宋_GB2312" w:hAnsi="仿宋_GB2312" w:cs="仿宋_GB2312" w:eastAsia="仿宋_GB2312"/>
              </w:rPr>
              <w:t xml:space="preserve"> 10、用途：低碳知识科普。</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七、宣传展板</w:t>
            </w:r>
          </w:p>
          <w:p>
            <w:pPr>
              <w:pStyle w:val="null3"/>
            </w:pPr>
            <w:r>
              <w:rPr>
                <w:rFonts w:ascii="仿宋_GB2312" w:hAnsi="仿宋_GB2312" w:cs="仿宋_GB2312" w:eastAsia="仿宋_GB2312"/>
              </w:rPr>
              <w:t xml:space="preserve"> 1、2040*2600mm宣传栏；</w:t>
            </w:r>
          </w:p>
          <w:p>
            <w:pPr>
              <w:pStyle w:val="null3"/>
            </w:pPr>
            <w:r>
              <w:rPr>
                <w:rFonts w:ascii="仿宋_GB2312" w:hAnsi="仿宋_GB2312" w:cs="仿宋_GB2312" w:eastAsia="仿宋_GB2312"/>
              </w:rPr>
              <w:t xml:space="preserve"> 2、材质；优质镀锌钢板、双面宣传图页；</w:t>
            </w:r>
          </w:p>
          <w:p>
            <w:pPr>
              <w:pStyle w:val="null3"/>
            </w:pPr>
            <w:r>
              <w:rPr>
                <w:rFonts w:ascii="仿宋_GB2312" w:hAnsi="仿宋_GB2312" w:cs="仿宋_GB2312" w:eastAsia="仿宋_GB2312"/>
              </w:rPr>
              <w:t xml:space="preserve"> 3、材质壁厚：3mm；</w:t>
            </w:r>
          </w:p>
          <w:p>
            <w:pPr>
              <w:pStyle w:val="null3"/>
            </w:pPr>
            <w:r>
              <w:rPr>
                <w:rFonts w:ascii="仿宋_GB2312" w:hAnsi="仿宋_GB2312" w:cs="仿宋_GB2312" w:eastAsia="仿宋_GB2312"/>
              </w:rPr>
              <w:t xml:space="preserve"> 4、配套混凝土基础：</w:t>
            </w:r>
          </w:p>
          <w:p>
            <w:pPr>
              <w:pStyle w:val="null3"/>
            </w:pPr>
            <w:r>
              <w:rPr>
                <w:rFonts w:ascii="仿宋_GB2312" w:hAnsi="仿宋_GB2312" w:cs="仿宋_GB2312" w:eastAsia="仿宋_GB2312"/>
              </w:rPr>
              <w:t xml:space="preserve"> 5、质保期限≥5年。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信誉和财务要求</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法定代表人直接参加谈判的，出具法定代表人身份证；法定代表人授权代表参加谈判的，出具法定代表人授权书及授权代表身份证</w:t>
            </w:r>
          </w:p>
        </w:tc>
        <w:tc>
          <w:tcPr>
            <w:tcW w:type="dxa" w:w="1661"/>
          </w:tcPr>
          <w:p>
            <w:pPr>
              <w:pStyle w:val="null3"/>
            </w:pPr>
            <w:r>
              <w:rPr>
                <w:rFonts w:ascii="仿宋_GB2312" w:hAnsi="仿宋_GB2312" w:cs="仿宋_GB2312" w:eastAsia="仿宋_GB2312"/>
              </w:rPr>
              <w:t>产品技术参数表 商务应答表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