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版本号：SCZD2025-CS-2525-00120250922001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PHILIP1.5T核磁维保项目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SCZD2025-CS-2525-001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PHILIP1.5T核磁维保项目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SCZD2025-CS-2525-001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PHILIP1.5T核磁维保项目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PHILIP1.5T核磁维保项目：1、维保设备：飞利浦Achieva1.5T（1台）；2、保修期限（服务期）：三年；3、维保范围：全保服务型；4、预算金额：36万元/年。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采购包1（汉中市中心医院PHILIP1.5T核磁维保项目）：属于专门面向中小企业采购。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银行账号：103262466722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代理服务费收费标准：代理服务费以三年合计中标金额为基数，参照《国家计委关于印发&lt;招标代理服务收费管理暂行办法&gt;的通知》（计价格[2002]1980号）规定标准按标段收取。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PHILIP1.5T核磁维保项目：1、维保设备：飞利浦Achieva1.5T（1台）；2、保修期限（服务期）：三年；3、维保范围：全保服务型；4、预算金额：36万元/年。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PHILIP1.5T核磁维保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标的名称：PHILIP1.5T核磁维保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一、包括设备系统</w:t>
            </w:r>
            <w:r>
              <w:rPr>
                <w:rFonts w:ascii="仿宋_GB2312" w:hAnsi="仿宋_GB2312" w:cs="仿宋_GB2312" w:eastAsia="仿宋_GB2312"/>
                <w:sz w:val="21"/>
              </w:rPr>
              <w:t>/</w:t>
            </w:r>
            <w:r>
              <w:rPr>
                <w:rFonts w:ascii="仿宋_GB2312" w:hAnsi="仿宋_GB2312" w:cs="仿宋_GB2312" w:eastAsia="仿宋_GB2312"/>
                <w:sz w:val="21"/>
              </w:rPr>
              <w:t>服务：磁共振设备整机全套及相关辅助设备。</w:t>
            </w:r>
          </w:p>
          <w:p>
            <w:pPr>
              <w:pStyle w:val="null3"/>
              <w:jc w:val="both"/>
            </w:pPr>
            <w:r>
              <w:rPr>
                <w:rFonts w:ascii="仿宋_GB2312" w:hAnsi="仿宋_GB2312" w:cs="仿宋_GB2312" w:eastAsia="仿宋_GB2312"/>
                <w:sz w:val="21"/>
              </w:rPr>
              <w:t>1.1包括核磁共振设备电子部分（含磁体，线圈、梯度柜、射频柜、系统柜、计算机、扫描床及所属辅件等）及主机图形工作站。</w:t>
            </w:r>
          </w:p>
          <w:p>
            <w:pPr>
              <w:pStyle w:val="null3"/>
              <w:jc w:val="both"/>
            </w:pPr>
            <w:r>
              <w:rPr>
                <w:rFonts w:ascii="仿宋_GB2312" w:hAnsi="仿宋_GB2312" w:cs="仿宋_GB2312" w:eastAsia="仿宋_GB2312"/>
                <w:sz w:val="21"/>
              </w:rPr>
              <w:t>1.2制冷系统</w:t>
            </w:r>
            <w:r>
              <w:rPr>
                <w:rFonts w:ascii="仿宋_GB2312" w:hAnsi="仿宋_GB2312" w:cs="仿宋_GB2312" w:eastAsia="仿宋_GB2312"/>
                <w:sz w:val="21"/>
              </w:rPr>
              <w:t>(</w:t>
            </w:r>
            <w:r>
              <w:rPr>
                <w:rFonts w:ascii="仿宋_GB2312" w:hAnsi="仿宋_GB2312" w:cs="仿宋_GB2312" w:eastAsia="仿宋_GB2312"/>
                <w:sz w:val="21"/>
              </w:rPr>
              <w:t>含冷头、氦压缩机、吸附器、高低压氦气管、正常消耗性液氦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1.3水冷机组及精密空调等。</w:t>
            </w:r>
          </w:p>
          <w:p>
            <w:pPr>
              <w:pStyle w:val="null3"/>
              <w:jc w:val="both"/>
            </w:pPr>
            <w:r>
              <w:rPr>
                <w:rFonts w:ascii="仿宋_GB2312" w:hAnsi="仿宋_GB2312" w:cs="仿宋_GB2312" w:eastAsia="仿宋_GB2312"/>
                <w:sz w:val="21"/>
              </w:rPr>
              <w:t>1.4预见及不可预见的失超后相关处理</w:t>
            </w:r>
          </w:p>
          <w:p>
            <w:pPr>
              <w:pStyle w:val="null3"/>
              <w:jc w:val="both"/>
            </w:pPr>
            <w:r>
              <w:rPr>
                <w:rFonts w:ascii="仿宋_GB2312" w:hAnsi="仿宋_GB2312" w:cs="仿宋_GB2312" w:eastAsia="仿宋_GB2312"/>
                <w:sz w:val="21"/>
              </w:rPr>
              <w:t>不包括设备系统</w:t>
            </w:r>
            <w:r>
              <w:rPr>
                <w:rFonts w:ascii="仿宋_GB2312" w:hAnsi="仿宋_GB2312" w:cs="仿宋_GB2312" w:eastAsia="仿宋_GB2312"/>
                <w:sz w:val="21"/>
              </w:rPr>
              <w:t>/</w:t>
            </w:r>
            <w:r>
              <w:rPr>
                <w:rFonts w:ascii="仿宋_GB2312" w:hAnsi="仿宋_GB2312" w:cs="仿宋_GB2312" w:eastAsia="仿宋_GB2312"/>
                <w:sz w:val="21"/>
              </w:rPr>
              <w:t>服务：激光相机、高压注射器第三方外围设备。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二、服务类别</w:t>
            </w:r>
            <w:r>
              <w:rPr>
                <w:rFonts w:ascii="仿宋_GB2312" w:hAnsi="仿宋_GB2312" w:cs="仿宋_GB2312" w:eastAsia="仿宋_GB2312"/>
                <w:sz w:val="21"/>
              </w:rPr>
              <w:t xml:space="preserve">: </w:t>
            </w:r>
            <w:r>
              <w:rPr>
                <w:rFonts w:ascii="仿宋_GB2312" w:hAnsi="仿宋_GB2312" w:cs="仿宋_GB2312" w:eastAsia="仿宋_GB2312"/>
                <w:sz w:val="21"/>
              </w:rPr>
              <w:t>全保服务型</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响应时间：全天</w:t>
            </w:r>
            <w:r>
              <w:rPr>
                <w:rFonts w:ascii="仿宋_GB2312" w:hAnsi="仿宋_GB2312" w:cs="仿宋_GB2312" w:eastAsia="仿宋_GB2312"/>
                <w:sz w:val="21"/>
              </w:rPr>
              <w:t>24</w:t>
            </w:r>
            <w:r>
              <w:rPr>
                <w:rFonts w:ascii="仿宋_GB2312" w:hAnsi="仿宋_GB2312" w:cs="仿宋_GB2312" w:eastAsia="仿宋_GB2312"/>
                <w:sz w:val="21"/>
              </w:rPr>
              <w:t>小时电话响应，设备故障时</w:t>
            </w:r>
            <w:r>
              <w:rPr>
                <w:rFonts w:ascii="仿宋_GB2312" w:hAnsi="仿宋_GB2312" w:cs="仿宋_GB2312" w:eastAsia="仿宋_GB2312"/>
                <w:sz w:val="21"/>
              </w:rPr>
              <w:t>24</w:t>
            </w:r>
            <w:r>
              <w:rPr>
                <w:rFonts w:ascii="仿宋_GB2312" w:hAnsi="仿宋_GB2312" w:cs="仿宋_GB2312" w:eastAsia="仿宋_GB2312"/>
                <w:sz w:val="21"/>
              </w:rPr>
              <w:t>小时内到达现场。</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维修时间：周一至周日全天候</w:t>
            </w:r>
            <w:r>
              <w:rPr>
                <w:rFonts w:ascii="仿宋_GB2312" w:hAnsi="仿宋_GB2312" w:cs="仿宋_GB2312" w:eastAsia="仿宋_GB2312"/>
                <w:sz w:val="21"/>
              </w:rPr>
              <w:t>24</w:t>
            </w:r>
            <w:r>
              <w:rPr>
                <w:rFonts w:ascii="仿宋_GB2312" w:hAnsi="仿宋_GB2312" w:cs="仿宋_GB2312" w:eastAsia="仿宋_GB2312"/>
                <w:sz w:val="21"/>
              </w:rPr>
              <w:t>小时提供服务。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3.1具有</w:t>
            </w:r>
            <w:r>
              <w:rPr>
                <w:rFonts w:ascii="仿宋_GB2312" w:hAnsi="仿宋_GB2312" w:cs="仿宋_GB2312" w:eastAsia="仿宋_GB2312"/>
                <w:sz w:val="21"/>
              </w:rPr>
              <w:t>400</w:t>
            </w:r>
            <w:r>
              <w:rPr>
                <w:rFonts w:ascii="仿宋_GB2312" w:hAnsi="仿宋_GB2312" w:cs="仿宋_GB2312" w:eastAsia="仿宋_GB2312"/>
                <w:sz w:val="21"/>
              </w:rPr>
              <w:t>或</w:t>
            </w:r>
            <w:r>
              <w:rPr>
                <w:rFonts w:ascii="仿宋_GB2312" w:hAnsi="仿宋_GB2312" w:cs="仿宋_GB2312" w:eastAsia="仿宋_GB2312"/>
                <w:sz w:val="21"/>
              </w:rPr>
              <w:t>800</w:t>
            </w:r>
            <w:r>
              <w:rPr>
                <w:rFonts w:ascii="仿宋_GB2312" w:hAnsi="仿宋_GB2312" w:cs="仿宋_GB2312" w:eastAsia="仿宋_GB2312"/>
                <w:sz w:val="21"/>
              </w:rPr>
              <w:t>免费维保支持服务电话，</w:t>
            </w:r>
            <w:r>
              <w:rPr>
                <w:rFonts w:ascii="仿宋_GB2312" w:hAnsi="仿宋_GB2312" w:cs="仿宋_GB2312" w:eastAsia="仿宋_GB2312"/>
                <w:sz w:val="21"/>
              </w:rPr>
              <w:t>365</w:t>
            </w:r>
            <w:r>
              <w:rPr>
                <w:rFonts w:ascii="仿宋_GB2312" w:hAnsi="仿宋_GB2312" w:cs="仿宋_GB2312" w:eastAsia="仿宋_GB2312"/>
                <w:sz w:val="21"/>
              </w:rPr>
              <w:t>天</w:t>
            </w:r>
            <w:r>
              <w:rPr>
                <w:rFonts w:ascii="仿宋_GB2312" w:hAnsi="仿宋_GB2312" w:cs="仿宋_GB2312" w:eastAsia="仿宋_GB2312"/>
                <w:sz w:val="21"/>
              </w:rPr>
              <w:t>*24</w:t>
            </w:r>
            <w:r>
              <w:rPr>
                <w:rFonts w:ascii="仿宋_GB2312" w:hAnsi="仿宋_GB2312" w:cs="仿宋_GB2312" w:eastAsia="仿宋_GB2312"/>
                <w:sz w:val="21"/>
              </w:rPr>
              <w:t>小时开通；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服务时间：全年</w:t>
            </w:r>
            <w:r>
              <w:rPr>
                <w:rFonts w:ascii="仿宋_GB2312" w:hAnsi="仿宋_GB2312" w:cs="仿宋_GB2312" w:eastAsia="仿宋_GB2312"/>
                <w:sz w:val="21"/>
              </w:rPr>
              <w:t>365*24</w:t>
            </w:r>
            <w:r>
              <w:rPr>
                <w:rFonts w:ascii="仿宋_GB2312" w:hAnsi="仿宋_GB2312" w:cs="仿宋_GB2312" w:eastAsia="仿宋_GB2312"/>
                <w:sz w:val="21"/>
              </w:rPr>
              <w:t>小时无节假日服务；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3.3电话响应时间：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小时；工程师到场时间：≤</w:t>
            </w:r>
            <w:r>
              <w:rPr>
                <w:rFonts w:ascii="仿宋_GB2312" w:hAnsi="仿宋_GB2312" w:cs="仿宋_GB2312" w:eastAsia="仿宋_GB2312"/>
                <w:sz w:val="21"/>
              </w:rPr>
              <w:t>24</w:t>
            </w:r>
            <w:r>
              <w:rPr>
                <w:rFonts w:ascii="仿宋_GB2312" w:hAnsi="仿宋_GB2312" w:cs="仿宋_GB2312" w:eastAsia="仿宋_GB2312"/>
                <w:sz w:val="21"/>
              </w:rPr>
              <w:t>小时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备件到达现场时间：普通零配件≤</w:t>
            </w:r>
            <w:r>
              <w:rPr>
                <w:rFonts w:ascii="仿宋_GB2312" w:hAnsi="仿宋_GB2312" w:cs="仿宋_GB2312" w:eastAsia="仿宋_GB2312"/>
                <w:sz w:val="21"/>
              </w:rPr>
              <w:t>24</w:t>
            </w:r>
            <w:r>
              <w:rPr>
                <w:rFonts w:ascii="仿宋_GB2312" w:hAnsi="仿宋_GB2312" w:cs="仿宋_GB2312" w:eastAsia="仿宋_GB2312"/>
                <w:sz w:val="21"/>
              </w:rPr>
              <w:t>小时，重大型配件≤</w:t>
            </w:r>
            <w:r>
              <w:rPr>
                <w:rFonts w:ascii="仿宋_GB2312" w:hAnsi="仿宋_GB2312" w:cs="仿宋_GB2312" w:eastAsia="仿宋_GB2312"/>
                <w:sz w:val="21"/>
              </w:rPr>
              <w:t>72</w:t>
            </w:r>
            <w:r>
              <w:rPr>
                <w:rFonts w:ascii="仿宋_GB2312" w:hAnsi="仿宋_GB2312" w:cs="仿宋_GB2312" w:eastAsia="仿宋_GB2312"/>
                <w:sz w:val="21"/>
              </w:rPr>
              <w:t>小时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3.5开机率保证：每年</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即每年停机不超过</w:t>
            </w:r>
            <w:r>
              <w:rPr>
                <w:rFonts w:ascii="仿宋_GB2312" w:hAnsi="仿宋_GB2312" w:cs="仿宋_GB2312" w:eastAsia="仿宋_GB2312"/>
                <w:sz w:val="21"/>
              </w:rPr>
              <w:t>18</w:t>
            </w:r>
            <w:r>
              <w:rPr>
                <w:rFonts w:ascii="仿宋_GB2312" w:hAnsi="仿宋_GB2312" w:cs="仿宋_GB2312" w:eastAsia="仿宋_GB2312"/>
                <w:sz w:val="21"/>
              </w:rPr>
              <w:t>天。如低于开机率应有详细补偿措施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3.6定期维护、保养、调校服务：每年提供不少于</w:t>
            </w:r>
            <w:r>
              <w:rPr>
                <w:rFonts w:ascii="仿宋_GB2312" w:hAnsi="仿宋_GB2312" w:cs="仿宋_GB2312" w:eastAsia="仿宋_GB2312"/>
                <w:sz w:val="21"/>
              </w:rPr>
              <w:t>4</w:t>
            </w:r>
            <w:r>
              <w:rPr>
                <w:rFonts w:ascii="仿宋_GB2312" w:hAnsi="仿宋_GB2312" w:cs="仿宋_GB2312" w:eastAsia="仿宋_GB2312"/>
                <w:sz w:val="21"/>
              </w:rPr>
              <w:t>次常规保养服务；此项定期维护服务应间隔进行</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3.7设备安全检查及质量保证服务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3.8设备故障报修：不限次数人工上门服务</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3.9整机人工技术服务及免费更换备件服务</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3.10远程故障预警提示服务</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3.11设备质检协助服务</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四、服务费用范围</w:t>
            </w:r>
          </w:p>
          <w:p>
            <w:pPr>
              <w:pStyle w:val="null3"/>
              <w:jc w:val="both"/>
            </w:pPr>
            <w:r>
              <w:rPr>
                <w:rFonts w:ascii="仿宋_GB2312" w:hAnsi="仿宋_GB2312" w:cs="仿宋_GB2312" w:eastAsia="仿宋_GB2312"/>
                <w:sz w:val="21"/>
              </w:rPr>
              <w:t>包含服务费用内容：维保期间所产生的人工费用；整机所有配件更换费用、差旅费用；技术服务费、运输费用等。</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五、备件要求</w:t>
            </w:r>
          </w:p>
          <w:p>
            <w:pPr>
              <w:pStyle w:val="null3"/>
              <w:jc w:val="both"/>
            </w:pPr>
            <w:r>
              <w:rPr>
                <w:rFonts w:ascii="仿宋_GB2312" w:hAnsi="仿宋_GB2312" w:cs="仿宋_GB2312" w:eastAsia="仿宋_GB2312"/>
                <w:sz w:val="21"/>
              </w:rPr>
              <w:t>所更换的备件为原厂原装备件，安装完成后达到设备安全运行标准及临床要求。</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6.1提供《维修报告》、《保养报告》、《设备年度保养报告》</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6.2免费提供</w:t>
            </w:r>
            <w:r>
              <w:rPr>
                <w:rFonts w:ascii="仿宋_GB2312" w:hAnsi="仿宋_GB2312" w:cs="仿宋_GB2312" w:eastAsia="仿宋_GB2312"/>
                <w:sz w:val="21"/>
              </w:rPr>
              <w:t>MR</w:t>
            </w:r>
            <w:r>
              <w:rPr>
                <w:rFonts w:ascii="仿宋_GB2312" w:hAnsi="仿宋_GB2312" w:cs="仿宋_GB2312" w:eastAsia="仿宋_GB2312"/>
                <w:sz w:val="21"/>
              </w:rPr>
              <w:t>核磁设备的日常操作、维护，维修技能等相关培训服务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合同签署后按年付款，发票开具后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特定资格要求材料.docx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参与的供应商（联合体）服务全部由符合政策要求的中小企业承接，提供中小微企业或监狱企业或残疾人福利性单位声明。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1供应商的企业法人营业执照； 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 3供应商应具有医疗器械经营许可证或经营备案凭证。4提供盖章的《汉中市政府采购供应商资格承诺函》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业绩一览表.docx 中小企业声明函 响应保证金支付凭证或担保函.docx 报价表 汉中市政府采购供应商资格承诺函.docx 特定资格要求材料.docx 响应文件封面 投标分项报价表.docx 残疾人福利性单位声明函 服务要求响应偏离表及相关证明资料.docx 服务方案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响应保证金支付凭证或担保函.docx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满足商务要求、响应内容无漏项或数量与要求不符，满足实质性要求</w:t>
            </w:r>
          </w:p>
        </w:tc>
        <w:tc>
          <w:tcPr>
            <w:tcW w:type="dxa" w:w="1661"/>
          </w:tcPr>
          <w:p>
            <w:pPr>
              <w:pStyle w:val="null3"/>
            </w:pPr>
            <w:r>
              <w:rPr>
                <w:rFonts w:ascii="仿宋_GB2312" w:hAnsi="仿宋_GB2312" w:cs="仿宋_GB2312" w:eastAsia="仿宋_GB2312"/>
              </w:rPr>
              <w:t>投标分项报价表.docx 服务要求响应偏离表及相关证明资料.docx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 文件，或者在同一份响应文件中对同一磋商项 目有两个或者多个报价</w:t>
            </w:r>
          </w:p>
        </w:tc>
        <w:tc>
          <w:tcPr>
            <w:tcW w:type="dxa" w:w="1661"/>
          </w:tcPr>
          <w:p>
            <w:pPr>
              <w:pStyle w:val="null3"/>
            </w:pPr>
            <w:r>
              <w:rPr>
                <w:rFonts w:ascii="仿宋_GB2312" w:hAnsi="仿宋_GB2312" w:cs="仿宋_GB2312" w:eastAsia="仿宋_GB2312"/>
              </w:rPr>
              <w:t>投标分项报价表.docx 服务要求响应偏离表及相关证明资料.docx 服务方案 标的清单 报价表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技术参数与性能指标：完全响应或优于采购要求得30分，一般项1项不满足扣2.5分，扣完为止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1：保养、维护计划方案</w:t>
            </w:r>
          </w:p>
        </w:tc>
        <w:tc>
          <w:tcPr>
            <w:tcW w:type="dxa" w:w="2492"/>
          </w:tcPr>
          <w:p>
            <w:pPr>
              <w:pStyle w:val="null3"/>
            </w:pPr>
            <w:r>
              <w:rPr>
                <w:rFonts w:ascii="仿宋_GB2312" w:hAnsi="仿宋_GB2312" w:cs="仿宋_GB2312" w:eastAsia="仿宋_GB2312"/>
              </w:rPr>
              <w:t>供应商对本项目提供的保养、维护计划方案： ①内容完整、可实施、且有针对性得10分； ②内容完整、可实施得7分； ③方案基本完整得4分；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2：故障紧急应急预案（5分）</w:t>
            </w:r>
          </w:p>
        </w:tc>
        <w:tc>
          <w:tcPr>
            <w:tcW w:type="dxa" w:w="2492"/>
          </w:tcPr>
          <w:p>
            <w:pPr>
              <w:pStyle w:val="null3"/>
            </w:pPr>
            <w:r>
              <w:rPr>
                <w:rFonts w:ascii="仿宋_GB2312" w:hAnsi="仿宋_GB2312" w:cs="仿宋_GB2312" w:eastAsia="仿宋_GB2312"/>
              </w:rPr>
              <w:t>供应商对设备可能出现的突发事件问题及重大故障，有具体可行的应急预案措施和解决方案：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3：服务质量保证措施（5分）</w:t>
            </w:r>
          </w:p>
        </w:tc>
        <w:tc>
          <w:tcPr>
            <w:tcW w:type="dxa" w:w="2492"/>
          </w:tcPr>
          <w:p>
            <w:pPr>
              <w:pStyle w:val="null3"/>
            </w:pPr>
            <w:r>
              <w:rPr>
                <w:rFonts w:ascii="仿宋_GB2312" w:hAnsi="仿宋_GB2312" w:cs="仿宋_GB2312" w:eastAsia="仿宋_GB2312"/>
              </w:rPr>
              <w:t>供应商对本项目维保服务提供切实可行的服务质量保证方案措施：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4：零配件兼容可靠性（5分）</w:t>
            </w:r>
          </w:p>
        </w:tc>
        <w:tc>
          <w:tcPr>
            <w:tcW w:type="dxa" w:w="2492"/>
          </w:tcPr>
          <w:p>
            <w:pPr>
              <w:pStyle w:val="null3"/>
            </w:pPr>
            <w:r>
              <w:rPr>
                <w:rFonts w:ascii="仿宋_GB2312" w:hAnsi="仿宋_GB2312" w:cs="仿宋_GB2312" w:eastAsia="仿宋_GB2312"/>
              </w:rPr>
              <w:t>供应商维保服务过程中提供的所有的部件及备品备件均应符合行业标准且能够与原设备配套兼容，具备合法、稳定的备件来源渠道以确保设备维修的及时性和可靠性： ①部件及备品备件全面，供应充足，且证明材料完整、性详细得5分； ②部件及备品备件完善，具有证明材料得3分； ③部件及备品备件基本满足维保要求，得1分；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5：人员配备方案（5分）</w:t>
            </w:r>
          </w:p>
        </w:tc>
        <w:tc>
          <w:tcPr>
            <w:tcW w:type="dxa" w:w="2492"/>
          </w:tcPr>
          <w:p>
            <w:pPr>
              <w:pStyle w:val="null3"/>
            </w:pPr>
            <w:r>
              <w:rPr>
                <w:rFonts w:ascii="仿宋_GB2312" w:hAnsi="仿宋_GB2312" w:cs="仿宋_GB2312" w:eastAsia="仿宋_GB2312"/>
              </w:rPr>
              <w:t>供应商有针对本项目的专业服务团队： ①人员配备完善、团队组织结构合理、经验丰富得5分； ②人员配备合理，有一定经验得3分； ③人员配备基本满足项目需求得1分；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6：服务承诺（5分）</w:t>
            </w:r>
          </w:p>
        </w:tc>
        <w:tc>
          <w:tcPr>
            <w:tcW w:type="dxa" w:w="2492"/>
          </w:tcPr>
          <w:p>
            <w:pPr>
              <w:pStyle w:val="null3"/>
            </w:pPr>
            <w:r>
              <w:rPr>
                <w:rFonts w:ascii="仿宋_GB2312" w:hAnsi="仿宋_GB2312" w:cs="仿宋_GB2312" w:eastAsia="仿宋_GB2312"/>
              </w:rPr>
              <w:t>供应商根据出现故障响应时间、人员到场时间、故障恢复时效及后续服务，开机率保证等内容： ①内容完整、可实施、且有针对性得5分； ②内容完整、可实施得3分；③方案基本完整得1分；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7：增值服务（5分）</w:t>
            </w:r>
          </w:p>
        </w:tc>
        <w:tc>
          <w:tcPr>
            <w:tcW w:type="dxa" w:w="2492"/>
          </w:tcPr>
          <w:p>
            <w:pPr>
              <w:pStyle w:val="null3"/>
            </w:pPr>
            <w:r>
              <w:rPr>
                <w:rFonts w:ascii="仿宋_GB2312" w:hAnsi="仿宋_GB2312" w:cs="仿宋_GB2312" w:eastAsia="仿宋_GB2312"/>
              </w:rPr>
              <w:t>供应商根据项目需求提供的增值服务： ①内容完整、可实施、且有针对性得5分； ②内容完整、可实施得3分； ③方案基本完整得1分；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8：类似业绩（5分）</w:t>
            </w:r>
          </w:p>
        </w:tc>
        <w:tc>
          <w:tcPr>
            <w:tcW w:type="dxa" w:w="2492"/>
          </w:tcPr>
          <w:p>
            <w:pPr>
              <w:pStyle w:val="null3"/>
            </w:pPr>
            <w:r>
              <w:rPr>
                <w:rFonts w:ascii="仿宋_GB2312" w:hAnsi="仿宋_GB2312" w:cs="仿宋_GB2312" w:eastAsia="仿宋_GB2312"/>
              </w:rPr>
              <w:t>供应商2021年1月1日至投标截止之日（以合同签订时间为准）承担过飞利浦1.5T或3.0T核磁维保业绩，每提供一份得1分，最高得5分。提供合同复印件，未提供不得分。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9：维保能力及服务相关实力（5分）</w:t>
            </w:r>
          </w:p>
        </w:tc>
        <w:tc>
          <w:tcPr>
            <w:tcW w:type="dxa" w:w="2492"/>
          </w:tcPr>
          <w:p>
            <w:pPr>
              <w:pStyle w:val="null3"/>
            </w:pPr>
            <w:r>
              <w:rPr>
                <w:rFonts w:ascii="仿宋_GB2312" w:hAnsi="仿宋_GB2312" w:cs="仿宋_GB2312" w:eastAsia="仿宋_GB2312"/>
              </w:rPr>
              <w:t>具备MR核磁设备重大故障维修的能力，如磁共振处理过失超、移机、更换磁体等的维修维保案例，提供合同或相关维修工单证明，每提供1份计1分，共计5分。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满足采购文件要求且最终响应报价最低的报价为评审基准价，其价格分为满分。其他供应商的价格分统一按照下列公式计算：响应报价得分=（评标基准价/最终响应报价）×价格分值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详见附件：响应保证金支付凭证或担保函.docx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