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C74D9A">
      <w:pPr>
        <w:jc w:val="center"/>
        <w:rPr>
          <w:rFonts w:hint="eastAsia" w:ascii="宋体" w:hAnsi="宋体" w:eastAsia="宋体" w:cs="宋体"/>
          <w:b/>
          <w:bCs/>
          <w:color w:val="000000"/>
          <w:kern w:val="2"/>
          <w:sz w:val="36"/>
          <w:szCs w:val="36"/>
        </w:rPr>
      </w:pPr>
      <w:r>
        <w:rPr>
          <w:rFonts w:hint="eastAsia" w:ascii="宋体" w:hAnsi="宋体" w:eastAsia="宋体" w:cs="宋体"/>
          <w:b/>
          <w:bCs/>
          <w:color w:val="000000"/>
          <w:kern w:val="2"/>
          <w:sz w:val="36"/>
          <w:szCs w:val="36"/>
        </w:rPr>
        <w:t>拟签订的合同文本</w:t>
      </w:r>
    </w:p>
    <w:p w14:paraId="22D117C2">
      <w:pPr>
        <w:pStyle w:val="2"/>
        <w:rPr>
          <w:rFonts w:hint="eastAsia" w:ascii="宋体" w:hAnsi="宋体" w:eastAsia="宋体" w:cs="宋体"/>
          <w:sz w:val="22"/>
          <w:szCs w:val="28"/>
          <w:lang w:eastAsia="zh-CN"/>
        </w:rPr>
      </w:pPr>
      <w:r>
        <w:rPr>
          <w:rFonts w:hint="eastAsia" w:ascii="宋体" w:hAnsi="宋体" w:eastAsia="宋体" w:cs="宋体"/>
          <w:b/>
          <w:bCs/>
          <w:color w:val="000000"/>
          <w:kern w:val="2"/>
          <w:sz w:val="32"/>
          <w:szCs w:val="32"/>
          <w:lang w:eastAsia="zh-CN"/>
        </w:rPr>
        <w:t>（仅供参考，合同以中标人与采购人商定条款为准）</w:t>
      </w:r>
    </w:p>
    <w:p w14:paraId="308F9063">
      <w:pPr>
        <w:pStyle w:val="2"/>
        <w:rPr>
          <w:rFonts w:hint="eastAsia" w:ascii="宋体" w:hAnsi="宋体" w:eastAsia="宋体" w:cs="宋体"/>
          <w:b/>
          <w:bCs/>
          <w:color w:val="000000"/>
          <w:kern w:val="2"/>
          <w:sz w:val="28"/>
          <w:szCs w:val="28"/>
        </w:rPr>
      </w:pPr>
    </w:p>
    <w:p w14:paraId="60E9D778">
      <w:pPr>
        <w:pStyle w:val="2"/>
        <w:ind w:left="0" w:leftChars="0" w:firstLine="0" w:firstLineChars="0"/>
        <w:rPr>
          <w:rFonts w:hint="eastAsia" w:ascii="宋体" w:hAnsi="宋体" w:eastAsia="宋体" w:cs="宋体"/>
          <w:b/>
          <w:bCs/>
          <w:color w:val="000000"/>
          <w:kern w:val="2"/>
          <w:sz w:val="28"/>
          <w:szCs w:val="28"/>
        </w:rPr>
      </w:pPr>
    </w:p>
    <w:p w14:paraId="19936F6B">
      <w:pPr>
        <w:rPr>
          <w:rFonts w:hint="eastAsia" w:ascii="宋体" w:hAnsi="宋体" w:eastAsia="宋体" w:cs="宋体"/>
          <w:b/>
          <w:bCs/>
          <w:color w:val="000000"/>
          <w:kern w:val="2"/>
          <w:sz w:val="28"/>
          <w:szCs w:val="28"/>
          <w:lang w:eastAsia="zh-CN"/>
        </w:rPr>
      </w:pPr>
      <w:r>
        <w:rPr>
          <w:rFonts w:hint="eastAsia" w:ascii="宋体" w:hAnsi="宋体" w:eastAsia="宋体" w:cs="宋体"/>
          <w:b/>
          <w:bCs/>
          <w:color w:val="000000"/>
          <w:kern w:val="2"/>
          <w:sz w:val="28"/>
          <w:szCs w:val="28"/>
          <w:lang w:eastAsia="zh-CN"/>
        </w:rPr>
        <w:t>项目编号：</w:t>
      </w:r>
    </w:p>
    <w:p w14:paraId="5FAEE66A">
      <w:pPr>
        <w:pStyle w:val="2"/>
        <w:rPr>
          <w:rFonts w:hint="eastAsia" w:ascii="宋体" w:hAnsi="宋体" w:eastAsia="宋体" w:cs="宋体"/>
          <w:lang w:eastAsia="zh-CN"/>
        </w:rPr>
      </w:pPr>
    </w:p>
    <w:p w14:paraId="54342C50">
      <w:pPr>
        <w:pStyle w:val="2"/>
        <w:jc w:val="center"/>
        <w:rPr>
          <w:rFonts w:hint="eastAsia" w:ascii="宋体" w:hAnsi="宋体" w:eastAsia="宋体" w:cs="宋体"/>
          <w:b/>
          <w:bCs/>
          <w:sz w:val="36"/>
          <w:szCs w:val="44"/>
          <w:lang w:eastAsia="zh-CN"/>
        </w:rPr>
      </w:pPr>
      <w:r>
        <w:rPr>
          <w:rFonts w:hint="eastAsia" w:ascii="宋体" w:hAnsi="宋体" w:eastAsia="宋体" w:cs="宋体"/>
          <w:b/>
          <w:bCs/>
          <w:sz w:val="36"/>
          <w:szCs w:val="44"/>
          <w:lang w:eastAsia="zh-CN"/>
        </w:rPr>
        <w:t>2025年省控空气自动站交叉运维备机采购项目</w:t>
      </w:r>
    </w:p>
    <w:p w14:paraId="696232F2">
      <w:pPr>
        <w:jc w:val="center"/>
        <w:rPr>
          <w:rFonts w:hint="eastAsia" w:ascii="宋体" w:hAnsi="宋体" w:eastAsia="宋体" w:cs="宋体"/>
          <w:b/>
          <w:bCs/>
          <w:sz w:val="36"/>
          <w:szCs w:val="44"/>
          <w:lang w:eastAsia="zh-CN"/>
        </w:rPr>
      </w:pPr>
      <w:r>
        <w:rPr>
          <w:rFonts w:hint="eastAsia" w:ascii="宋体" w:hAnsi="宋体" w:eastAsia="宋体" w:cs="宋体"/>
          <w:b/>
          <w:bCs/>
          <w:sz w:val="36"/>
          <w:szCs w:val="44"/>
          <w:lang w:eastAsia="zh-CN"/>
        </w:rPr>
        <w:t>（第</w:t>
      </w:r>
      <w:r>
        <w:rPr>
          <w:rFonts w:hint="eastAsia" w:ascii="宋体" w:hAnsi="宋体" w:eastAsia="宋体" w:cs="宋体"/>
          <w:b/>
          <w:bCs/>
          <w:sz w:val="36"/>
          <w:szCs w:val="44"/>
          <w:lang w:val="en-US" w:eastAsia="zh-CN"/>
        </w:rPr>
        <w:t xml:space="preserve">  包</w:t>
      </w:r>
      <w:r>
        <w:rPr>
          <w:rFonts w:hint="eastAsia" w:ascii="宋体" w:hAnsi="宋体" w:eastAsia="宋体" w:cs="宋体"/>
          <w:b/>
          <w:bCs/>
          <w:sz w:val="36"/>
          <w:szCs w:val="44"/>
          <w:lang w:eastAsia="zh-CN"/>
        </w:rPr>
        <w:t>）</w:t>
      </w:r>
    </w:p>
    <w:p w14:paraId="4A3F3A49">
      <w:pPr>
        <w:rPr>
          <w:rFonts w:hint="eastAsia" w:ascii="宋体" w:hAnsi="宋体" w:eastAsia="宋体" w:cs="宋体"/>
          <w:sz w:val="36"/>
          <w:szCs w:val="44"/>
          <w:lang w:eastAsia="zh-CN"/>
        </w:rPr>
      </w:pPr>
    </w:p>
    <w:p w14:paraId="305C4E80">
      <w:pPr>
        <w:spacing w:line="360" w:lineRule="auto"/>
        <w:rPr>
          <w:rFonts w:hint="eastAsia" w:ascii="宋体" w:hAnsi="宋体" w:eastAsia="宋体" w:cs="宋体"/>
          <w:sz w:val="36"/>
          <w:szCs w:val="44"/>
          <w:lang w:eastAsia="zh-CN"/>
        </w:rPr>
      </w:pPr>
    </w:p>
    <w:p w14:paraId="538FDC7C">
      <w:pPr>
        <w:pStyle w:val="2"/>
        <w:spacing w:line="360" w:lineRule="auto"/>
        <w:ind w:left="0" w:leftChars="0" w:firstLine="0" w:firstLineChars="0"/>
        <w:jc w:val="center"/>
        <w:rPr>
          <w:rFonts w:hint="eastAsia" w:ascii="宋体" w:hAnsi="宋体" w:eastAsia="宋体" w:cs="宋体"/>
          <w:sz w:val="52"/>
          <w:szCs w:val="52"/>
          <w:lang w:eastAsia="zh-CN"/>
        </w:rPr>
      </w:pPr>
      <w:r>
        <w:rPr>
          <w:rFonts w:hint="eastAsia" w:ascii="宋体" w:hAnsi="宋体" w:eastAsia="宋体" w:cs="宋体"/>
          <w:sz w:val="52"/>
          <w:szCs w:val="52"/>
          <w:lang w:eastAsia="zh-CN"/>
        </w:rPr>
        <w:t>合</w:t>
      </w:r>
    </w:p>
    <w:p w14:paraId="6E0D08A7">
      <w:pPr>
        <w:pStyle w:val="2"/>
        <w:spacing w:line="360" w:lineRule="auto"/>
        <w:ind w:left="0" w:leftChars="0" w:firstLine="0" w:firstLineChars="0"/>
        <w:jc w:val="both"/>
        <w:rPr>
          <w:rFonts w:hint="eastAsia" w:ascii="宋体" w:hAnsi="宋体" w:eastAsia="宋体" w:cs="宋体"/>
          <w:sz w:val="52"/>
          <w:szCs w:val="52"/>
          <w:lang w:eastAsia="zh-CN"/>
        </w:rPr>
      </w:pPr>
    </w:p>
    <w:p w14:paraId="65B73777">
      <w:pPr>
        <w:pStyle w:val="2"/>
        <w:spacing w:line="360" w:lineRule="auto"/>
        <w:ind w:left="0" w:leftChars="0" w:firstLine="0" w:firstLineChars="0"/>
        <w:jc w:val="center"/>
        <w:rPr>
          <w:rFonts w:hint="eastAsia" w:ascii="宋体" w:hAnsi="宋体" w:eastAsia="宋体" w:cs="宋体"/>
          <w:sz w:val="52"/>
          <w:szCs w:val="52"/>
          <w:lang w:eastAsia="zh-CN"/>
        </w:rPr>
      </w:pPr>
      <w:r>
        <w:rPr>
          <w:rFonts w:hint="eastAsia" w:ascii="宋体" w:hAnsi="宋体" w:eastAsia="宋体" w:cs="宋体"/>
          <w:sz w:val="52"/>
          <w:szCs w:val="52"/>
          <w:lang w:eastAsia="zh-CN"/>
        </w:rPr>
        <w:t>同</w:t>
      </w:r>
    </w:p>
    <w:p w14:paraId="6FDB69C7">
      <w:pPr>
        <w:pStyle w:val="2"/>
        <w:spacing w:line="360" w:lineRule="auto"/>
        <w:ind w:left="0" w:leftChars="0" w:firstLine="0" w:firstLineChars="0"/>
        <w:jc w:val="center"/>
        <w:rPr>
          <w:rFonts w:hint="eastAsia" w:ascii="宋体" w:hAnsi="宋体" w:eastAsia="宋体" w:cs="宋体"/>
          <w:sz w:val="52"/>
          <w:szCs w:val="52"/>
          <w:lang w:eastAsia="zh-CN"/>
        </w:rPr>
      </w:pPr>
    </w:p>
    <w:p w14:paraId="32E83A7F">
      <w:pPr>
        <w:pStyle w:val="2"/>
        <w:spacing w:line="360" w:lineRule="auto"/>
        <w:ind w:left="0" w:leftChars="0" w:firstLine="0" w:firstLineChars="0"/>
        <w:jc w:val="center"/>
        <w:rPr>
          <w:rFonts w:hint="eastAsia" w:ascii="宋体" w:hAnsi="宋体" w:eastAsia="宋体" w:cs="宋体"/>
          <w:sz w:val="52"/>
          <w:szCs w:val="52"/>
          <w:lang w:eastAsia="zh-CN"/>
        </w:rPr>
      </w:pPr>
      <w:r>
        <w:rPr>
          <w:rFonts w:hint="eastAsia" w:ascii="宋体" w:hAnsi="宋体" w:eastAsia="宋体" w:cs="宋体"/>
          <w:sz w:val="52"/>
          <w:szCs w:val="52"/>
          <w:lang w:eastAsia="zh-CN"/>
        </w:rPr>
        <w:t>书</w:t>
      </w:r>
    </w:p>
    <w:p w14:paraId="06A8BBED">
      <w:pPr>
        <w:rPr>
          <w:rFonts w:hint="eastAsia" w:ascii="宋体" w:hAnsi="宋体" w:eastAsia="宋体" w:cs="宋体"/>
          <w:sz w:val="52"/>
          <w:szCs w:val="52"/>
          <w:lang w:eastAsia="zh-CN"/>
        </w:rPr>
      </w:pPr>
    </w:p>
    <w:p w14:paraId="1D721BFB">
      <w:pPr>
        <w:pStyle w:val="2"/>
        <w:rPr>
          <w:rFonts w:hint="eastAsia" w:ascii="宋体" w:hAnsi="宋体" w:eastAsia="宋体" w:cs="宋体"/>
          <w:lang w:eastAsia="zh-CN"/>
        </w:rPr>
      </w:pPr>
    </w:p>
    <w:p w14:paraId="1B73A686">
      <w:pPr>
        <w:pStyle w:val="2"/>
        <w:spacing w:line="360" w:lineRule="auto"/>
        <w:ind w:left="0" w:leftChars="0" w:firstLine="1285" w:firstLineChars="400"/>
        <w:jc w:val="both"/>
        <w:rPr>
          <w:rFonts w:hint="eastAsia" w:ascii="宋体" w:hAnsi="宋体" w:eastAsia="宋体" w:cs="宋体"/>
          <w:sz w:val="32"/>
          <w:szCs w:val="32"/>
          <w:lang w:eastAsia="zh-CN"/>
        </w:rPr>
      </w:pPr>
      <w:r>
        <w:rPr>
          <w:rFonts w:hint="eastAsia" w:ascii="宋体" w:hAnsi="宋体" w:eastAsia="宋体" w:cs="宋体"/>
          <w:b/>
          <w:bCs/>
          <w:color w:val="000000"/>
          <w:kern w:val="2"/>
          <w:sz w:val="32"/>
          <w:szCs w:val="32"/>
        </w:rPr>
        <w:t>甲方</w:t>
      </w:r>
      <w:r>
        <w:rPr>
          <w:rFonts w:hint="eastAsia" w:ascii="宋体" w:hAnsi="宋体" w:eastAsia="宋体" w:cs="宋体"/>
          <w:b/>
          <w:bCs/>
          <w:color w:val="000000"/>
          <w:kern w:val="2"/>
          <w:sz w:val="32"/>
          <w:szCs w:val="32"/>
          <w:lang w:eastAsia="zh-CN"/>
        </w:rPr>
        <w:t>（采购单位）</w:t>
      </w:r>
      <w:r>
        <w:rPr>
          <w:rFonts w:hint="eastAsia" w:ascii="宋体" w:hAnsi="宋体" w:eastAsia="宋体" w:cs="宋体"/>
          <w:b/>
          <w:bCs/>
          <w:color w:val="000000"/>
          <w:kern w:val="2"/>
          <w:sz w:val="32"/>
          <w:szCs w:val="32"/>
        </w:rPr>
        <w:t>：</w:t>
      </w:r>
      <w:r>
        <w:rPr>
          <w:rFonts w:hint="eastAsia" w:ascii="宋体" w:hAnsi="宋体" w:eastAsia="宋体" w:cs="宋体"/>
          <w:b/>
          <w:bCs/>
          <w:color w:val="000000"/>
          <w:kern w:val="2"/>
          <w:sz w:val="32"/>
          <w:szCs w:val="32"/>
          <w:u w:val="single"/>
        </w:rPr>
        <w:t xml:space="preserve">           </w:t>
      </w:r>
      <w:r>
        <w:rPr>
          <w:rFonts w:hint="eastAsia" w:ascii="宋体" w:hAnsi="宋体" w:eastAsia="宋体" w:cs="宋体"/>
          <w:b/>
          <w:bCs/>
          <w:color w:val="000000"/>
          <w:kern w:val="2"/>
          <w:sz w:val="32"/>
          <w:szCs w:val="32"/>
          <w:u w:val="single"/>
          <w:lang w:val="en-US" w:eastAsia="zh-CN"/>
        </w:rPr>
        <w:t xml:space="preserve">   </w:t>
      </w:r>
      <w:r>
        <w:rPr>
          <w:rFonts w:hint="eastAsia" w:ascii="宋体" w:hAnsi="宋体" w:eastAsia="宋体" w:cs="宋体"/>
          <w:b/>
          <w:bCs/>
          <w:color w:val="000000"/>
          <w:kern w:val="2"/>
          <w:sz w:val="32"/>
          <w:szCs w:val="32"/>
          <w:u w:val="single"/>
        </w:rPr>
        <w:t xml:space="preserve">          </w:t>
      </w:r>
    </w:p>
    <w:p w14:paraId="4A80DE15">
      <w:pPr>
        <w:ind w:firstLine="1285" w:firstLineChars="400"/>
        <w:rPr>
          <w:rFonts w:hint="eastAsia" w:ascii="宋体" w:hAnsi="宋体" w:eastAsia="宋体" w:cs="宋体"/>
          <w:b/>
          <w:bCs/>
          <w:color w:val="000000"/>
          <w:kern w:val="2"/>
          <w:sz w:val="32"/>
          <w:szCs w:val="32"/>
          <w:u w:val="single"/>
        </w:rPr>
        <w:sectPr>
          <w:footerReference r:id="rId3"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000000"/>
          <w:kern w:val="2"/>
          <w:sz w:val="32"/>
          <w:szCs w:val="32"/>
        </w:rPr>
        <w:t>乙方</w:t>
      </w:r>
      <w:r>
        <w:rPr>
          <w:rFonts w:hint="eastAsia" w:ascii="宋体" w:hAnsi="宋体" w:eastAsia="宋体" w:cs="宋体"/>
          <w:b/>
          <w:bCs/>
          <w:color w:val="000000"/>
          <w:kern w:val="2"/>
          <w:sz w:val="32"/>
          <w:szCs w:val="32"/>
          <w:lang w:eastAsia="zh-CN"/>
        </w:rPr>
        <w:t>（供货单位）</w:t>
      </w:r>
      <w:r>
        <w:rPr>
          <w:rFonts w:hint="eastAsia" w:ascii="宋体" w:hAnsi="宋体" w:eastAsia="宋体" w:cs="宋体"/>
          <w:b/>
          <w:bCs/>
          <w:color w:val="000000"/>
          <w:kern w:val="2"/>
          <w:sz w:val="32"/>
          <w:szCs w:val="32"/>
        </w:rPr>
        <w:t>：</w:t>
      </w:r>
      <w:r>
        <w:rPr>
          <w:rFonts w:hint="eastAsia" w:ascii="宋体" w:hAnsi="宋体" w:eastAsia="宋体" w:cs="宋体"/>
          <w:b/>
          <w:bCs/>
          <w:color w:val="000000"/>
          <w:kern w:val="2"/>
          <w:sz w:val="32"/>
          <w:szCs w:val="32"/>
          <w:u w:val="single"/>
        </w:rPr>
        <w:t xml:space="preserve">                        </w:t>
      </w:r>
    </w:p>
    <w:p w14:paraId="5174A2B6">
      <w:pPr>
        <w:rPr>
          <w:rFonts w:hint="eastAsia" w:ascii="宋体" w:hAnsi="宋体" w:eastAsia="宋体" w:cs="宋体"/>
          <w:b/>
          <w:bCs/>
          <w:color w:val="000000"/>
          <w:kern w:val="2"/>
          <w:sz w:val="28"/>
          <w:szCs w:val="28"/>
        </w:rPr>
      </w:pPr>
      <w:bookmarkStart w:id="40" w:name="_GoBack"/>
      <w:bookmarkEnd w:id="40"/>
      <w:r>
        <w:rPr>
          <w:rFonts w:hint="eastAsia" w:ascii="宋体" w:hAnsi="宋体" w:eastAsia="宋体" w:cs="宋体"/>
          <w:b/>
          <w:bCs/>
          <w:color w:val="000000"/>
          <w:kern w:val="2"/>
          <w:sz w:val="28"/>
          <w:szCs w:val="28"/>
        </w:rPr>
        <w:t>甲方：</w:t>
      </w:r>
      <w:r>
        <w:rPr>
          <w:rFonts w:hint="eastAsia" w:ascii="宋体" w:hAnsi="宋体" w:eastAsia="宋体" w:cs="宋体"/>
          <w:b/>
          <w:bCs/>
          <w:color w:val="000000"/>
          <w:kern w:val="2"/>
          <w:sz w:val="28"/>
          <w:szCs w:val="28"/>
          <w:u w:val="single"/>
        </w:rPr>
        <w:t xml:space="preserve">                        </w:t>
      </w:r>
      <w:r>
        <w:rPr>
          <w:rFonts w:hint="eastAsia" w:ascii="宋体" w:hAnsi="宋体" w:eastAsia="宋体" w:cs="宋体"/>
          <w:b/>
          <w:bCs/>
          <w:color w:val="000000"/>
          <w:kern w:val="2"/>
          <w:sz w:val="28"/>
          <w:szCs w:val="28"/>
        </w:rPr>
        <w:t xml:space="preserve"> </w:t>
      </w:r>
    </w:p>
    <w:p w14:paraId="7769C08D">
      <w:pPr>
        <w:adjustRightInd w:val="0"/>
        <w:snapToGrid w:val="0"/>
        <w:spacing w:line="460" w:lineRule="exact"/>
        <w:rPr>
          <w:rFonts w:hint="eastAsia" w:ascii="宋体" w:hAnsi="宋体" w:eastAsia="宋体" w:cs="宋体"/>
          <w:color w:val="000000"/>
          <w:kern w:val="2"/>
          <w:sz w:val="24"/>
          <w:szCs w:val="24"/>
        </w:rPr>
      </w:pPr>
      <w:r>
        <w:rPr>
          <w:rFonts w:hint="eastAsia" w:ascii="宋体" w:hAnsi="宋体" w:eastAsia="宋体" w:cs="宋体"/>
          <w:b/>
          <w:bCs/>
          <w:color w:val="000000"/>
          <w:kern w:val="2"/>
          <w:sz w:val="28"/>
          <w:szCs w:val="28"/>
        </w:rPr>
        <w:t>乙方：</w:t>
      </w:r>
      <w:r>
        <w:rPr>
          <w:rFonts w:hint="eastAsia" w:ascii="宋体" w:hAnsi="宋体" w:eastAsia="宋体" w:cs="宋体"/>
          <w:b/>
          <w:bCs/>
          <w:color w:val="000000"/>
          <w:kern w:val="2"/>
          <w:sz w:val="28"/>
          <w:szCs w:val="28"/>
          <w:u w:val="single"/>
        </w:rPr>
        <w:t xml:space="preserve">                        </w:t>
      </w:r>
      <w:r>
        <w:rPr>
          <w:rFonts w:hint="eastAsia" w:ascii="宋体" w:hAnsi="宋体" w:eastAsia="宋体" w:cs="宋体"/>
          <w:color w:val="000000"/>
          <w:kern w:val="2"/>
          <w:sz w:val="24"/>
          <w:szCs w:val="24"/>
        </w:rPr>
        <w:t xml:space="preserve"> </w:t>
      </w:r>
    </w:p>
    <w:p w14:paraId="4194B75E">
      <w:pPr>
        <w:overflowPunct w:val="0"/>
        <w:adjustRightInd w:val="0"/>
        <w:snapToGrid w:val="0"/>
        <w:spacing w:line="460" w:lineRule="exact"/>
        <w:rPr>
          <w:rFonts w:hint="eastAsia" w:ascii="宋体" w:hAnsi="宋体" w:eastAsia="宋体" w:cs="宋体"/>
          <w:sz w:val="24"/>
          <w:szCs w:val="24"/>
          <w:shd w:val="clear" w:color="auto" w:fill="FFFFFF"/>
        </w:rPr>
      </w:pPr>
    </w:p>
    <w:p w14:paraId="718B17BB">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rPr>
        <w:t xml:space="preserve">（项目名称） </w:t>
      </w:r>
      <w:r>
        <w:rPr>
          <w:rFonts w:hint="eastAsia" w:ascii="宋体" w:hAnsi="宋体" w:eastAsia="宋体" w:cs="宋体"/>
          <w:sz w:val="24"/>
          <w:szCs w:val="24"/>
          <w:u w:val="single"/>
        </w:rPr>
        <w:t xml:space="preserve">   </w:t>
      </w:r>
      <w:r>
        <w:rPr>
          <w:rFonts w:hint="eastAsia" w:ascii="宋体" w:hAnsi="宋体" w:eastAsia="宋体" w:cs="宋体"/>
          <w:sz w:val="24"/>
          <w:szCs w:val="24"/>
        </w:rPr>
        <w:t>在</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汉中市财政局</w:t>
      </w:r>
      <w:r>
        <w:rPr>
          <w:rFonts w:hint="eastAsia" w:ascii="宋体" w:hAnsi="宋体" w:eastAsia="宋体" w:cs="宋体"/>
          <w:sz w:val="24"/>
          <w:szCs w:val="24"/>
          <w:u w:val="single"/>
        </w:rPr>
        <w:t xml:space="preserve"> </w:t>
      </w:r>
      <w:r>
        <w:rPr>
          <w:rFonts w:hint="eastAsia" w:ascii="宋体" w:hAnsi="宋体" w:eastAsia="宋体" w:cs="宋体"/>
          <w:sz w:val="24"/>
          <w:szCs w:val="24"/>
        </w:rPr>
        <w:t>的监督管理下，由</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（以下简称甲方）委托</w:t>
      </w:r>
      <w:r>
        <w:rPr>
          <w:rFonts w:hint="eastAsia" w:ascii="宋体" w:hAnsi="宋体" w:eastAsia="宋体" w:cs="宋体"/>
          <w:sz w:val="24"/>
          <w:szCs w:val="24"/>
          <w:lang w:eastAsia="zh-CN"/>
        </w:rPr>
        <w:t>衡正国际工程咨询有限公司</w:t>
      </w:r>
      <w:r>
        <w:rPr>
          <w:rFonts w:hint="eastAsia" w:ascii="宋体" w:hAnsi="宋体" w:eastAsia="宋体" w:cs="宋体"/>
          <w:sz w:val="24"/>
          <w:szCs w:val="24"/>
        </w:rPr>
        <w:t>组织公开招标，经招标确定</w:t>
      </w:r>
    </w:p>
    <w:p w14:paraId="00F1B51C">
      <w:pPr>
        <w:rPr>
          <w:rFonts w:hint="eastAsia" w:ascii="宋体" w:hAnsi="宋体" w:eastAsia="宋体" w:cs="宋体"/>
          <w:sz w:val="24"/>
          <w:szCs w:val="24"/>
          <w:shd w:val="clear" w:color="auto" w:fill="FFFFFF"/>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公司（以下简称乙方）为该项目第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包中标人。依据《中华人民共和国民法典》经甲、乙双方共同协商，按下述条款和条件签署本合同。</w:t>
      </w:r>
    </w:p>
    <w:p w14:paraId="3587B848">
      <w:pPr>
        <w:overflowPunct w:val="0"/>
        <w:adjustRightInd w:val="0"/>
        <w:snapToGrid w:val="0"/>
        <w:spacing w:after="156" w:afterLines="50" w:line="460" w:lineRule="exact"/>
        <w:ind w:firstLine="482"/>
        <w:rPr>
          <w:rFonts w:hint="eastAsia" w:ascii="宋体" w:hAnsi="宋体" w:eastAsia="宋体" w:cs="宋体"/>
          <w:b/>
          <w:bCs/>
          <w:sz w:val="24"/>
          <w:szCs w:val="24"/>
        </w:rPr>
      </w:pPr>
      <w:bookmarkStart w:id="0" w:name="_Toc29437"/>
      <w:bookmarkStart w:id="1" w:name="_Toc11641"/>
      <w:r>
        <w:rPr>
          <w:rFonts w:hint="eastAsia" w:ascii="宋体" w:hAnsi="宋体" w:eastAsia="宋体" w:cs="宋体"/>
          <w:b/>
          <w:bCs/>
          <w:sz w:val="24"/>
          <w:szCs w:val="24"/>
        </w:rPr>
        <w:t>1.合同标的及数量</w:t>
      </w:r>
      <w:bookmarkEnd w:id="0"/>
      <w:bookmarkEnd w:id="1"/>
    </w:p>
    <w:tbl>
      <w:tblPr>
        <w:tblStyle w:val="12"/>
        <w:tblW w:w="501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16"/>
        <w:gridCol w:w="1108"/>
        <w:gridCol w:w="564"/>
        <w:gridCol w:w="521"/>
        <w:gridCol w:w="803"/>
        <w:gridCol w:w="1003"/>
        <w:gridCol w:w="999"/>
        <w:gridCol w:w="1002"/>
        <w:gridCol w:w="986"/>
        <w:gridCol w:w="937"/>
      </w:tblGrid>
      <w:tr w14:paraId="0F237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7" w:hRule="atLeast"/>
        </w:trPr>
        <w:tc>
          <w:tcPr>
            <w:tcW w:w="365" w:type="pct"/>
            <w:shd w:val="clear" w:color="auto" w:fill="auto"/>
            <w:vAlign w:val="center"/>
          </w:tcPr>
          <w:p w14:paraId="1A2569B6">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序号</w:t>
            </w:r>
          </w:p>
        </w:tc>
        <w:tc>
          <w:tcPr>
            <w:tcW w:w="652" w:type="pct"/>
            <w:shd w:val="clear" w:color="auto" w:fill="auto"/>
            <w:vAlign w:val="center"/>
          </w:tcPr>
          <w:p w14:paraId="55F794C5">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品目</w:t>
            </w:r>
          </w:p>
        </w:tc>
        <w:tc>
          <w:tcPr>
            <w:tcW w:w="334" w:type="pct"/>
            <w:shd w:val="clear" w:color="auto" w:fill="auto"/>
            <w:vAlign w:val="center"/>
          </w:tcPr>
          <w:p w14:paraId="51D89399">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数量</w:t>
            </w:r>
          </w:p>
        </w:tc>
        <w:tc>
          <w:tcPr>
            <w:tcW w:w="309" w:type="pct"/>
            <w:shd w:val="clear" w:color="auto" w:fill="auto"/>
            <w:vAlign w:val="center"/>
          </w:tcPr>
          <w:p w14:paraId="0AE3D7F3">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单位</w:t>
            </w:r>
          </w:p>
        </w:tc>
        <w:tc>
          <w:tcPr>
            <w:tcW w:w="474" w:type="pct"/>
            <w:shd w:val="clear" w:color="auto" w:fill="auto"/>
            <w:vAlign w:val="center"/>
          </w:tcPr>
          <w:p w14:paraId="29C27945">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品牌</w:t>
            </w:r>
          </w:p>
        </w:tc>
        <w:tc>
          <w:tcPr>
            <w:tcW w:w="589" w:type="pct"/>
            <w:shd w:val="clear" w:color="auto" w:fill="auto"/>
            <w:vAlign w:val="center"/>
          </w:tcPr>
          <w:p w14:paraId="0AE0BEEF">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规格</w:t>
            </w:r>
          </w:p>
          <w:p w14:paraId="72BDC56B">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型号</w:t>
            </w:r>
          </w:p>
        </w:tc>
        <w:tc>
          <w:tcPr>
            <w:tcW w:w="589" w:type="pct"/>
            <w:shd w:val="clear" w:color="auto" w:fill="auto"/>
            <w:vAlign w:val="center"/>
          </w:tcPr>
          <w:p w14:paraId="2E090B8C">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制造商</w:t>
            </w:r>
          </w:p>
        </w:tc>
        <w:tc>
          <w:tcPr>
            <w:tcW w:w="589" w:type="pct"/>
            <w:shd w:val="clear" w:color="auto" w:fill="auto"/>
            <w:vAlign w:val="center"/>
          </w:tcPr>
          <w:p w14:paraId="5D5140DB">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原产地</w:t>
            </w:r>
          </w:p>
        </w:tc>
        <w:tc>
          <w:tcPr>
            <w:tcW w:w="581" w:type="pct"/>
            <w:shd w:val="clear" w:color="auto" w:fill="auto"/>
            <w:vAlign w:val="center"/>
          </w:tcPr>
          <w:p w14:paraId="7605E345">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单价（元）</w:t>
            </w:r>
          </w:p>
        </w:tc>
        <w:tc>
          <w:tcPr>
            <w:tcW w:w="512" w:type="pct"/>
            <w:shd w:val="clear" w:color="auto" w:fill="auto"/>
            <w:vAlign w:val="center"/>
          </w:tcPr>
          <w:p w14:paraId="5093AFF8">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小计（元）</w:t>
            </w:r>
          </w:p>
        </w:tc>
      </w:tr>
      <w:tr w14:paraId="3E28BB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365" w:type="pct"/>
            <w:shd w:val="clear" w:color="auto" w:fill="auto"/>
            <w:vAlign w:val="center"/>
          </w:tcPr>
          <w:p w14:paraId="6E783C39">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652" w:type="pct"/>
            <w:shd w:val="clear" w:color="auto" w:fill="auto"/>
            <w:vAlign w:val="center"/>
          </w:tcPr>
          <w:p w14:paraId="53783CA1">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334" w:type="pct"/>
            <w:shd w:val="clear" w:color="auto" w:fill="auto"/>
            <w:vAlign w:val="center"/>
          </w:tcPr>
          <w:p w14:paraId="0AF4C89A">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309" w:type="pct"/>
            <w:shd w:val="clear" w:color="auto" w:fill="auto"/>
            <w:vAlign w:val="center"/>
          </w:tcPr>
          <w:p w14:paraId="0BB107B9">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474" w:type="pct"/>
            <w:shd w:val="clear" w:color="auto" w:fill="auto"/>
            <w:vAlign w:val="center"/>
          </w:tcPr>
          <w:p w14:paraId="533A83FE">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2D9A49F3">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748A3D54">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0EFA35D8">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1" w:type="pct"/>
            <w:shd w:val="clear" w:color="auto" w:fill="auto"/>
            <w:vAlign w:val="center"/>
          </w:tcPr>
          <w:p w14:paraId="2DC5445A">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12" w:type="pct"/>
            <w:shd w:val="clear" w:color="auto" w:fill="auto"/>
            <w:vAlign w:val="center"/>
          </w:tcPr>
          <w:p w14:paraId="0B5102A0">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r>
      <w:tr w14:paraId="764DB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365" w:type="pct"/>
            <w:shd w:val="clear" w:color="auto" w:fill="auto"/>
            <w:vAlign w:val="center"/>
          </w:tcPr>
          <w:p w14:paraId="2039BF85">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652" w:type="pct"/>
            <w:shd w:val="clear" w:color="auto" w:fill="auto"/>
            <w:vAlign w:val="center"/>
          </w:tcPr>
          <w:p w14:paraId="7C3AA229">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334" w:type="pct"/>
            <w:shd w:val="clear" w:color="auto" w:fill="auto"/>
            <w:vAlign w:val="center"/>
          </w:tcPr>
          <w:p w14:paraId="6AFA8F16">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309" w:type="pct"/>
            <w:shd w:val="clear" w:color="auto" w:fill="auto"/>
            <w:vAlign w:val="center"/>
          </w:tcPr>
          <w:p w14:paraId="1B7B4F3D">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474" w:type="pct"/>
            <w:shd w:val="clear" w:color="auto" w:fill="auto"/>
            <w:vAlign w:val="center"/>
          </w:tcPr>
          <w:p w14:paraId="4292E895">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5EF96CA9">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5D74C00D">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00338802">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1" w:type="pct"/>
            <w:shd w:val="clear" w:color="auto" w:fill="auto"/>
            <w:vAlign w:val="center"/>
          </w:tcPr>
          <w:p w14:paraId="6C350D06">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12" w:type="pct"/>
            <w:shd w:val="clear" w:color="auto" w:fill="auto"/>
            <w:vAlign w:val="center"/>
          </w:tcPr>
          <w:p w14:paraId="116AE5BF">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r>
      <w:tr w14:paraId="2FB4A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365" w:type="pct"/>
            <w:shd w:val="clear" w:color="auto" w:fill="auto"/>
            <w:vAlign w:val="center"/>
          </w:tcPr>
          <w:p w14:paraId="59C793AE">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652" w:type="pct"/>
            <w:shd w:val="clear" w:color="auto" w:fill="auto"/>
            <w:vAlign w:val="center"/>
          </w:tcPr>
          <w:p w14:paraId="1C378100">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334" w:type="pct"/>
            <w:shd w:val="clear" w:color="auto" w:fill="auto"/>
            <w:vAlign w:val="center"/>
          </w:tcPr>
          <w:p w14:paraId="0031DC8E">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309" w:type="pct"/>
            <w:shd w:val="clear" w:color="auto" w:fill="auto"/>
            <w:vAlign w:val="center"/>
          </w:tcPr>
          <w:p w14:paraId="413BE995">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474" w:type="pct"/>
            <w:shd w:val="clear" w:color="auto" w:fill="auto"/>
            <w:vAlign w:val="center"/>
          </w:tcPr>
          <w:p w14:paraId="3E2A0750">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0EDBF760">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3A583B85">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60F774D7">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1" w:type="pct"/>
            <w:shd w:val="clear" w:color="auto" w:fill="auto"/>
            <w:vAlign w:val="center"/>
          </w:tcPr>
          <w:p w14:paraId="66CCF14E">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12" w:type="pct"/>
            <w:shd w:val="clear" w:color="auto" w:fill="auto"/>
            <w:vAlign w:val="center"/>
          </w:tcPr>
          <w:p w14:paraId="61723F5B">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r>
      <w:tr w14:paraId="3AF87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6" w:hRule="atLeast"/>
        </w:trPr>
        <w:tc>
          <w:tcPr>
            <w:tcW w:w="365" w:type="pct"/>
            <w:shd w:val="clear" w:color="auto" w:fill="auto"/>
            <w:vAlign w:val="center"/>
          </w:tcPr>
          <w:p w14:paraId="149883F4">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652" w:type="pct"/>
            <w:shd w:val="clear" w:color="auto" w:fill="auto"/>
            <w:vAlign w:val="center"/>
          </w:tcPr>
          <w:p w14:paraId="0DA12135">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334" w:type="pct"/>
            <w:shd w:val="clear" w:color="auto" w:fill="auto"/>
            <w:vAlign w:val="center"/>
          </w:tcPr>
          <w:p w14:paraId="3B85FF05">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309" w:type="pct"/>
            <w:shd w:val="clear" w:color="auto" w:fill="auto"/>
            <w:vAlign w:val="center"/>
          </w:tcPr>
          <w:p w14:paraId="00FECECC">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474" w:type="pct"/>
            <w:shd w:val="clear" w:color="auto" w:fill="auto"/>
            <w:vAlign w:val="center"/>
          </w:tcPr>
          <w:p w14:paraId="43F02483">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252EEC0A">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64DF4705">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9" w:type="pct"/>
            <w:shd w:val="clear" w:color="auto" w:fill="auto"/>
            <w:vAlign w:val="center"/>
          </w:tcPr>
          <w:p w14:paraId="5E082DB5">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81" w:type="pct"/>
            <w:shd w:val="clear" w:color="auto" w:fill="auto"/>
            <w:vAlign w:val="center"/>
          </w:tcPr>
          <w:p w14:paraId="6D0F3769">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512" w:type="pct"/>
            <w:shd w:val="clear" w:color="auto" w:fill="auto"/>
            <w:vAlign w:val="center"/>
          </w:tcPr>
          <w:p w14:paraId="5FBD0AF1">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r>
      <w:tr w14:paraId="7BA6B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2" w:hRule="atLeast"/>
        </w:trPr>
        <w:tc>
          <w:tcPr>
            <w:tcW w:w="1018" w:type="pct"/>
            <w:gridSpan w:val="2"/>
            <w:shd w:val="clear" w:color="auto" w:fill="auto"/>
            <w:vAlign w:val="center"/>
          </w:tcPr>
          <w:p w14:paraId="0F7C3F3F">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总价大写</w:t>
            </w:r>
          </w:p>
          <w:p w14:paraId="4903EA45">
            <w:pPr>
              <w:pStyle w:val="5"/>
              <w:overflowPunct w:val="0"/>
              <w:adjustRightInd w:val="0"/>
              <w:snapToGrid w:val="0"/>
              <w:spacing w:after="0"/>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（元）</w:t>
            </w:r>
          </w:p>
        </w:tc>
        <w:tc>
          <w:tcPr>
            <w:tcW w:w="1708" w:type="pct"/>
            <w:gridSpan w:val="4"/>
            <w:shd w:val="clear" w:color="auto" w:fill="auto"/>
            <w:vAlign w:val="center"/>
          </w:tcPr>
          <w:p w14:paraId="7A66BE6D">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c>
          <w:tcPr>
            <w:tcW w:w="1179" w:type="pct"/>
            <w:gridSpan w:val="2"/>
            <w:shd w:val="clear" w:color="auto" w:fill="auto"/>
            <w:vAlign w:val="center"/>
          </w:tcPr>
          <w:p w14:paraId="44EB36B9">
            <w:pPr>
              <w:pStyle w:val="5"/>
              <w:overflowPunct w:val="0"/>
              <w:adjustRightInd w:val="0"/>
              <w:snapToGrid w:val="0"/>
              <w:spacing w:line="440" w:lineRule="exact"/>
              <w:jc w:val="center"/>
              <w:rPr>
                <w:rFonts w:hint="eastAsia" w:ascii="宋体" w:hAnsi="宋体" w:eastAsia="宋体" w:cs="宋体"/>
                <w:snapToGrid w:val="0"/>
                <w:kern w:val="2"/>
                <w:sz w:val="24"/>
                <w:szCs w:val="24"/>
              </w:rPr>
            </w:pPr>
            <w:r>
              <w:rPr>
                <w:rFonts w:hint="eastAsia" w:ascii="宋体" w:hAnsi="宋体" w:eastAsia="宋体" w:cs="宋体"/>
                <w:snapToGrid w:val="0"/>
                <w:kern w:val="2"/>
                <w:sz w:val="24"/>
                <w:szCs w:val="24"/>
              </w:rPr>
              <w:t>总价小写（元）</w:t>
            </w:r>
          </w:p>
        </w:tc>
        <w:tc>
          <w:tcPr>
            <w:tcW w:w="1094" w:type="pct"/>
            <w:gridSpan w:val="2"/>
            <w:shd w:val="clear" w:color="auto" w:fill="auto"/>
            <w:vAlign w:val="center"/>
          </w:tcPr>
          <w:p w14:paraId="6E3FB371">
            <w:pPr>
              <w:pStyle w:val="5"/>
              <w:overflowPunct w:val="0"/>
              <w:adjustRightInd w:val="0"/>
              <w:snapToGrid w:val="0"/>
              <w:spacing w:line="440" w:lineRule="exact"/>
              <w:jc w:val="center"/>
              <w:rPr>
                <w:rFonts w:hint="eastAsia" w:ascii="宋体" w:hAnsi="宋体" w:eastAsia="宋体" w:cs="宋体"/>
                <w:snapToGrid w:val="0"/>
                <w:kern w:val="2"/>
                <w:sz w:val="24"/>
                <w:szCs w:val="24"/>
              </w:rPr>
            </w:pPr>
          </w:p>
        </w:tc>
      </w:tr>
    </w:tbl>
    <w:p w14:paraId="50E8BD77">
      <w:pPr>
        <w:overflowPunct w:val="0"/>
        <w:adjustRightInd w:val="0"/>
        <w:snapToGrid w:val="0"/>
        <w:spacing w:line="460" w:lineRule="exact"/>
        <w:ind w:firstLine="482"/>
        <w:rPr>
          <w:rFonts w:hint="eastAsia" w:ascii="宋体" w:hAnsi="宋体" w:eastAsia="宋体" w:cs="宋体"/>
          <w:b/>
          <w:bCs/>
          <w:sz w:val="24"/>
          <w:szCs w:val="24"/>
        </w:rPr>
      </w:pPr>
      <w:bookmarkStart w:id="2" w:name="_Toc31275"/>
      <w:bookmarkStart w:id="3" w:name="_Toc11652"/>
      <w:r>
        <w:rPr>
          <w:rFonts w:hint="eastAsia" w:ascii="宋体" w:hAnsi="宋体" w:eastAsia="宋体" w:cs="宋体"/>
          <w:b/>
          <w:bCs/>
          <w:sz w:val="24"/>
          <w:szCs w:val="24"/>
        </w:rPr>
        <w:t>2.合同价格</w:t>
      </w:r>
      <w:bookmarkEnd w:id="2"/>
      <w:bookmarkEnd w:id="3"/>
    </w:p>
    <w:p w14:paraId="43983713">
      <w:pPr>
        <w:tabs>
          <w:tab w:val="left" w:pos="1701"/>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合同总价：人民币（大写）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10EED023">
      <w:pPr>
        <w:tabs>
          <w:tab w:val="left" w:pos="1701"/>
        </w:tabs>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2.1合同总价为甲方指定地点的交货价，包含但不限于设备、包装、运输、安装、调试、培训、质保、税金、关税（进口产品）等费用。</w:t>
      </w:r>
    </w:p>
    <w:p w14:paraId="57E72809">
      <w:pPr>
        <w:tabs>
          <w:tab w:val="left" w:pos="1701"/>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2.2合同为总价合同，不受市场价格变化的影响。</w:t>
      </w:r>
    </w:p>
    <w:p w14:paraId="74D381AA">
      <w:pPr>
        <w:overflowPunct w:val="0"/>
        <w:adjustRightInd w:val="0"/>
        <w:snapToGrid w:val="0"/>
        <w:spacing w:line="460" w:lineRule="exact"/>
        <w:ind w:firstLine="482"/>
        <w:rPr>
          <w:rFonts w:hint="eastAsia" w:ascii="宋体" w:hAnsi="宋体" w:eastAsia="宋体" w:cs="宋体"/>
          <w:b/>
          <w:bCs/>
          <w:sz w:val="24"/>
          <w:szCs w:val="24"/>
        </w:rPr>
      </w:pPr>
      <w:bookmarkStart w:id="4" w:name="_Toc6028"/>
      <w:bookmarkStart w:id="5" w:name="_Toc20723"/>
      <w:r>
        <w:rPr>
          <w:rFonts w:hint="eastAsia" w:ascii="宋体" w:hAnsi="宋体" w:eastAsia="宋体" w:cs="宋体"/>
          <w:b/>
          <w:bCs/>
          <w:sz w:val="24"/>
          <w:szCs w:val="24"/>
        </w:rPr>
        <w:t>3.货款支付</w:t>
      </w:r>
      <w:bookmarkEnd w:id="4"/>
      <w:bookmarkEnd w:id="5"/>
    </w:p>
    <w:p w14:paraId="49053B1B">
      <w:pPr>
        <w:tabs>
          <w:tab w:val="left" w:pos="1701"/>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3.1 合同价款支付</w:t>
      </w:r>
    </w:p>
    <w:p w14:paraId="0DEC8440">
      <w:pPr>
        <w:tabs>
          <w:tab w:val="left" w:pos="1701"/>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3.1.1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CFD9CAB">
      <w:pPr>
        <w:tabs>
          <w:tab w:val="left" w:pos="1701"/>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3.1.2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F5B3053">
      <w:pPr>
        <w:tabs>
          <w:tab w:val="left" w:pos="1701"/>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 xml:space="preserve">3.1.3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7515BA">
      <w:pPr>
        <w:tabs>
          <w:tab w:val="left" w:pos="1701"/>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3.2 甲方支付前由乙方提出支付申请，经甲方审核付款内容达到合同约定且无质量和服务问题后予以支付。支付前，乙方按照合同的要求开具相应金额的</w:t>
      </w:r>
      <w:r>
        <w:rPr>
          <w:rFonts w:hint="eastAsia" w:ascii="宋体" w:hAnsi="宋体" w:eastAsia="宋体" w:cs="宋体"/>
          <w:sz w:val="24"/>
          <w:szCs w:val="24"/>
          <w:u w:val="single"/>
        </w:rPr>
        <w:t xml:space="preserve">     </w:t>
      </w:r>
      <w:r>
        <w:rPr>
          <w:rFonts w:hint="eastAsia" w:ascii="宋体" w:hAnsi="宋体" w:eastAsia="宋体" w:cs="宋体"/>
          <w:sz w:val="24"/>
          <w:szCs w:val="24"/>
        </w:rPr>
        <w:t>发票。</w:t>
      </w:r>
    </w:p>
    <w:p w14:paraId="7FD3C220">
      <w:pPr>
        <w:tabs>
          <w:tab w:val="left" w:pos="1701"/>
        </w:tabs>
        <w:overflowPunct w:val="0"/>
        <w:adjustRightInd w:val="0"/>
        <w:snapToGrid w:val="0"/>
        <w:spacing w:line="46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 支付方式：银行转账。</w:t>
      </w:r>
    </w:p>
    <w:p w14:paraId="1D31E929">
      <w:pPr>
        <w:overflowPunct w:val="0"/>
        <w:adjustRightInd w:val="0"/>
        <w:snapToGrid w:val="0"/>
        <w:spacing w:line="460" w:lineRule="exact"/>
        <w:ind w:firstLine="482"/>
        <w:rPr>
          <w:rFonts w:hint="eastAsia" w:ascii="宋体" w:hAnsi="宋体" w:eastAsia="宋体" w:cs="宋体"/>
          <w:b/>
          <w:bCs/>
          <w:sz w:val="24"/>
          <w:szCs w:val="24"/>
        </w:rPr>
      </w:pPr>
      <w:bookmarkStart w:id="6" w:name="_Toc19087"/>
      <w:bookmarkStart w:id="7" w:name="_Toc31149"/>
      <w:r>
        <w:rPr>
          <w:rFonts w:hint="eastAsia" w:ascii="宋体" w:hAnsi="宋体" w:eastAsia="宋体" w:cs="宋体"/>
          <w:b/>
          <w:bCs/>
          <w:sz w:val="24"/>
          <w:szCs w:val="24"/>
        </w:rPr>
        <w:t>4.甲乙双方的权利和义务</w:t>
      </w:r>
      <w:bookmarkEnd w:id="6"/>
      <w:bookmarkEnd w:id="7"/>
    </w:p>
    <w:p w14:paraId="0E3BC1ED">
      <w:pPr>
        <w:tabs>
          <w:tab w:val="left" w:pos="1701"/>
        </w:tabs>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4.1甲方的权利和义务</w:t>
      </w:r>
    </w:p>
    <w:p w14:paraId="6569EA0A">
      <w:pPr>
        <w:tabs>
          <w:tab w:val="left" w:pos="1701"/>
        </w:tabs>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4.1.1负责合同签订后项目实施的工作（包括与乙方的具体联系和衔接，现场安装调试时配备人员进行监管控制等）；</w:t>
      </w:r>
    </w:p>
    <w:p w14:paraId="7E839D50">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4.1.2负责提供设备和项目安装调试所必须的场地和环境；</w:t>
      </w:r>
    </w:p>
    <w:p w14:paraId="23425FCE">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4.1.3负责组织成立验收小组对设备和项目进行验收并签署验收报告；</w:t>
      </w:r>
    </w:p>
    <w:p w14:paraId="1793D80C">
      <w:pPr>
        <w:pStyle w:val="5"/>
        <w:overflowPunct w:val="0"/>
        <w:adjustRightInd w:val="0"/>
        <w:snapToGrid w:val="0"/>
        <w:spacing w:after="0"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4.1.4 按合同规定享有乙方提供的设备服务。</w:t>
      </w:r>
    </w:p>
    <w:p w14:paraId="09087144">
      <w:pPr>
        <w:tabs>
          <w:tab w:val="left" w:pos="1701"/>
        </w:tabs>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4.2乙方的权利和义务</w:t>
      </w:r>
    </w:p>
    <w:p w14:paraId="3958DF96">
      <w:pPr>
        <w:pStyle w:val="5"/>
        <w:overflowPunct w:val="0"/>
        <w:adjustRightInd w:val="0"/>
        <w:snapToGrid w:val="0"/>
        <w:spacing w:after="0"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4.2.1乙方保证按本合同约定负责完成甲方项目，并保证提供的设备是全新（包括零部件），符合招投标文件规定，具有国家有关部门注册证明并符合国家质量检测标准（进口产品具有国家有关部门完整手续）和产品出厂标准的设备，并保证设备在甲方报废前正常运行。</w:t>
      </w:r>
    </w:p>
    <w:p w14:paraId="0D370613">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4.2.2乙方保证对其出售的货物享有合法的权利，保证对其出售的货物上不存在任何未曾向甲方透露的担保物权，如抵押权、质押权、留置权。</w:t>
      </w:r>
    </w:p>
    <w:p w14:paraId="4343B339">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4.2.3乙方保证甲方在合同设备（有配套软件的还包括软件产品）使用期间不受第三方提出侵犯其专利权、版权、商标权、工业设计权等的起诉。</w:t>
      </w:r>
    </w:p>
    <w:p w14:paraId="152FEEAA">
      <w:pPr>
        <w:pStyle w:val="5"/>
        <w:overflowPunct w:val="0"/>
        <w:adjustRightInd w:val="0"/>
        <w:snapToGrid w:val="0"/>
        <w:spacing w:after="0"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4.2.4 严格遵守商务谈判中所承诺的一切规定和条款。</w:t>
      </w:r>
    </w:p>
    <w:p w14:paraId="2DA6A88D">
      <w:pPr>
        <w:pStyle w:val="5"/>
        <w:overflowPunct w:val="0"/>
        <w:adjustRightInd w:val="0"/>
        <w:snapToGrid w:val="0"/>
        <w:spacing w:after="0"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4.2.5 参与设备和项目的验收。</w:t>
      </w:r>
    </w:p>
    <w:p w14:paraId="3BAB6502">
      <w:pPr>
        <w:overflowPunct w:val="0"/>
        <w:adjustRightInd w:val="0"/>
        <w:snapToGrid w:val="0"/>
        <w:spacing w:line="460" w:lineRule="exact"/>
        <w:ind w:firstLine="482"/>
        <w:rPr>
          <w:rFonts w:hint="eastAsia" w:ascii="宋体" w:hAnsi="宋体" w:eastAsia="宋体" w:cs="宋体"/>
          <w:b/>
          <w:bCs/>
          <w:sz w:val="24"/>
          <w:szCs w:val="24"/>
        </w:rPr>
      </w:pPr>
      <w:bookmarkStart w:id="8" w:name="_Toc23311"/>
      <w:bookmarkStart w:id="9" w:name="_Toc5778"/>
      <w:r>
        <w:rPr>
          <w:rFonts w:hint="eastAsia" w:ascii="宋体" w:hAnsi="宋体" w:eastAsia="宋体" w:cs="宋体"/>
          <w:b/>
          <w:bCs/>
          <w:sz w:val="24"/>
          <w:szCs w:val="24"/>
        </w:rPr>
        <w:t>5.产品功能要求</w:t>
      </w:r>
      <w:bookmarkEnd w:id="8"/>
      <w:bookmarkEnd w:id="9"/>
    </w:p>
    <w:p w14:paraId="5719AAC7">
      <w:pPr>
        <w:tabs>
          <w:tab w:val="left" w:pos="1701"/>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产品功能符合国家质量检测标准，并满足甲方技术要求。</w:t>
      </w:r>
    </w:p>
    <w:p w14:paraId="23C74225">
      <w:pPr>
        <w:overflowPunct w:val="0"/>
        <w:adjustRightInd w:val="0"/>
        <w:snapToGrid w:val="0"/>
        <w:spacing w:line="460" w:lineRule="exact"/>
        <w:ind w:firstLine="482"/>
        <w:rPr>
          <w:rFonts w:hint="eastAsia" w:ascii="宋体" w:hAnsi="宋体" w:eastAsia="宋体" w:cs="宋体"/>
          <w:b/>
          <w:bCs/>
          <w:sz w:val="24"/>
          <w:szCs w:val="24"/>
        </w:rPr>
      </w:pPr>
      <w:bookmarkStart w:id="10" w:name="_Toc19004"/>
      <w:bookmarkStart w:id="11" w:name="_Toc3077"/>
      <w:r>
        <w:rPr>
          <w:rFonts w:hint="eastAsia" w:ascii="宋体" w:hAnsi="宋体" w:eastAsia="宋体" w:cs="宋体"/>
          <w:b/>
          <w:bCs/>
          <w:sz w:val="24"/>
          <w:szCs w:val="24"/>
        </w:rPr>
        <w:t>6.配套设备要求及长期供应优惠条件</w:t>
      </w:r>
      <w:bookmarkEnd w:id="10"/>
      <w:bookmarkEnd w:id="11"/>
    </w:p>
    <w:p w14:paraId="172F3B2F">
      <w:pPr>
        <w:overflowPunct w:val="0"/>
        <w:adjustRightInd w:val="0"/>
        <w:snapToGrid w:val="0"/>
        <w:spacing w:line="460" w:lineRule="exact"/>
        <w:rPr>
          <w:rFonts w:hint="eastAsia" w:ascii="宋体" w:hAnsi="宋体" w:eastAsia="宋体" w:cs="宋体"/>
          <w:sz w:val="24"/>
          <w:szCs w:val="24"/>
        </w:rPr>
      </w:pPr>
      <w:r>
        <w:rPr>
          <w:rFonts w:hint="eastAsia" w:ascii="宋体" w:hAnsi="宋体" w:eastAsia="宋体" w:cs="宋体"/>
          <w:sz w:val="24"/>
          <w:szCs w:val="24"/>
        </w:rPr>
        <w:t xml:space="preserve">    若甲方系统需要改造或扩容，所需的设备乙方以不高于合同约定的单价提供。在保修期外，对于系统内出现故障的硬件和软件，乙方承诺及时修复或更换且只收取工作的成本费。</w:t>
      </w:r>
    </w:p>
    <w:p w14:paraId="756250C4">
      <w:pPr>
        <w:overflowPunct w:val="0"/>
        <w:adjustRightInd w:val="0"/>
        <w:snapToGrid w:val="0"/>
        <w:spacing w:line="460" w:lineRule="exact"/>
        <w:ind w:firstLine="482"/>
        <w:rPr>
          <w:rFonts w:hint="eastAsia" w:ascii="宋体" w:hAnsi="宋体" w:eastAsia="宋体" w:cs="宋体"/>
          <w:b/>
          <w:bCs/>
          <w:sz w:val="24"/>
          <w:szCs w:val="24"/>
        </w:rPr>
      </w:pPr>
      <w:bookmarkStart w:id="12" w:name="_Toc21406"/>
      <w:bookmarkStart w:id="13" w:name="_Toc629"/>
      <w:r>
        <w:rPr>
          <w:rFonts w:hint="eastAsia" w:ascii="宋体" w:hAnsi="宋体" w:eastAsia="宋体" w:cs="宋体"/>
          <w:b/>
          <w:bCs/>
          <w:sz w:val="24"/>
          <w:szCs w:val="24"/>
        </w:rPr>
        <w:t>7.备品备件（含易损件）要求及长期供应优惠条件</w:t>
      </w:r>
      <w:bookmarkEnd w:id="12"/>
      <w:bookmarkEnd w:id="13"/>
    </w:p>
    <w:p w14:paraId="638969E3">
      <w:pPr>
        <w:overflowPunct w:val="0"/>
        <w:adjustRightInd w:val="0"/>
        <w:snapToGrid w:val="0"/>
        <w:spacing w:line="460" w:lineRule="exact"/>
        <w:rPr>
          <w:rFonts w:hint="eastAsia" w:ascii="宋体" w:hAnsi="宋体" w:eastAsia="宋体" w:cs="宋体"/>
          <w:sz w:val="24"/>
          <w:szCs w:val="24"/>
        </w:rPr>
      </w:pPr>
      <w:r>
        <w:rPr>
          <w:rFonts w:hint="eastAsia" w:ascii="宋体" w:hAnsi="宋体" w:eastAsia="宋体" w:cs="宋体"/>
          <w:sz w:val="24"/>
          <w:szCs w:val="24"/>
        </w:rPr>
        <w:t xml:space="preserve">    乙方严格按照招投标文件执行并确保满足甲方需要，具体要求详见招投标文件和本合同附件：供货清单。乙方同时承诺：乙方向甲方提供的备品备件（含易损件）不高于市场同类产品的价格。</w:t>
      </w:r>
    </w:p>
    <w:p w14:paraId="67908FEE">
      <w:pPr>
        <w:overflowPunct w:val="0"/>
        <w:adjustRightInd w:val="0"/>
        <w:snapToGrid w:val="0"/>
        <w:spacing w:line="460" w:lineRule="exact"/>
        <w:ind w:firstLine="482"/>
        <w:rPr>
          <w:rFonts w:hint="eastAsia" w:ascii="宋体" w:hAnsi="宋体" w:eastAsia="宋体" w:cs="宋体"/>
          <w:b/>
          <w:bCs/>
          <w:sz w:val="24"/>
          <w:szCs w:val="24"/>
        </w:rPr>
      </w:pPr>
      <w:bookmarkStart w:id="14" w:name="_Toc16387"/>
      <w:bookmarkStart w:id="15" w:name="_Toc12574"/>
      <w:r>
        <w:rPr>
          <w:rFonts w:hint="eastAsia" w:ascii="宋体" w:hAnsi="宋体" w:eastAsia="宋体" w:cs="宋体"/>
          <w:b/>
          <w:bCs/>
          <w:sz w:val="24"/>
          <w:szCs w:val="24"/>
        </w:rPr>
        <w:t>8.包装、标记和运输</w:t>
      </w:r>
      <w:bookmarkEnd w:id="14"/>
      <w:bookmarkEnd w:id="15"/>
    </w:p>
    <w:p w14:paraId="27C96469">
      <w:pPr>
        <w:pStyle w:val="5"/>
        <w:overflowPunct w:val="0"/>
        <w:adjustRightInd w:val="0"/>
        <w:snapToGrid w:val="0"/>
        <w:spacing w:after="0" w:line="46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8.1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7BD5379F">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8.2 下列资料包装在合同货物的包装箱中：</w:t>
      </w:r>
    </w:p>
    <w:p w14:paraId="75403D95">
      <w:pPr>
        <w:pStyle w:val="5"/>
        <w:overflowPunct w:val="0"/>
        <w:adjustRightInd w:val="0"/>
        <w:snapToGrid w:val="0"/>
        <w:spacing w:after="0" w:line="46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8.2.1 装箱单。</w:t>
      </w:r>
    </w:p>
    <w:p w14:paraId="3295E774">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8.2.2 合同货物数量和货物制造商出具的质量合格证书、保修证书。</w:t>
      </w:r>
    </w:p>
    <w:p w14:paraId="25E38016">
      <w:pPr>
        <w:overflowPunct w:val="0"/>
        <w:adjustRightInd w:val="0"/>
        <w:snapToGrid w:val="0"/>
        <w:spacing w:line="460" w:lineRule="exact"/>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 xml:space="preserve">8.2.3 </w:t>
      </w:r>
      <w:r>
        <w:rPr>
          <w:rFonts w:hint="eastAsia" w:ascii="宋体" w:hAnsi="宋体" w:eastAsia="宋体" w:cs="宋体"/>
          <w:color w:val="000000"/>
          <w:sz w:val="24"/>
          <w:szCs w:val="24"/>
        </w:rPr>
        <w:t>随机备品备件、配件、工具、图纸、使用说明书及</w:t>
      </w:r>
      <w:r>
        <w:rPr>
          <w:rFonts w:hint="eastAsia" w:ascii="宋体" w:hAnsi="宋体" w:eastAsia="宋体" w:cs="宋体"/>
          <w:sz w:val="24"/>
          <w:szCs w:val="24"/>
        </w:rPr>
        <w:t>其它必要的技术资料（中文）</w:t>
      </w:r>
      <w:r>
        <w:rPr>
          <w:rFonts w:hint="eastAsia" w:ascii="宋体" w:hAnsi="宋体" w:eastAsia="宋体" w:cs="宋体"/>
          <w:color w:val="000000"/>
          <w:sz w:val="24"/>
          <w:szCs w:val="24"/>
        </w:rPr>
        <w:t>。</w:t>
      </w:r>
    </w:p>
    <w:p w14:paraId="3104B2D2">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8.3 乙方对合同货物包装不善、标记不明、防护措施不当或在合同货物装箱前保管不良，致使合同货物遭到损坏或丢失，乙方应负责免费修理或更换，并承担由此给甲方造成的一切损失。</w:t>
      </w:r>
    </w:p>
    <w:p w14:paraId="6E899767">
      <w:pPr>
        <w:pStyle w:val="5"/>
        <w:overflowPunct w:val="0"/>
        <w:adjustRightInd w:val="0"/>
        <w:snapToGrid w:val="0"/>
        <w:spacing w:after="0"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8.4 货物（产品）运输方式：</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汽车运输</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117BDF">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8.5 乙方负责货物（产品）运输，货物运输的合理损耗及计算方法</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无</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817937C">
      <w:pPr>
        <w:overflowPunct w:val="0"/>
        <w:adjustRightInd w:val="0"/>
        <w:snapToGrid w:val="0"/>
        <w:spacing w:line="460" w:lineRule="exact"/>
        <w:ind w:firstLine="482"/>
        <w:rPr>
          <w:rFonts w:hint="eastAsia" w:ascii="宋体" w:hAnsi="宋体" w:eastAsia="宋体" w:cs="宋体"/>
          <w:b/>
          <w:bCs/>
          <w:sz w:val="24"/>
          <w:szCs w:val="24"/>
        </w:rPr>
      </w:pPr>
      <w:bookmarkStart w:id="16" w:name="_Toc9580"/>
      <w:bookmarkStart w:id="17" w:name="_Toc16421"/>
      <w:r>
        <w:rPr>
          <w:rFonts w:hint="eastAsia" w:ascii="宋体" w:hAnsi="宋体" w:eastAsia="宋体" w:cs="宋体"/>
          <w:b/>
          <w:bCs/>
          <w:sz w:val="24"/>
          <w:szCs w:val="24"/>
        </w:rPr>
        <w:t>9.交货</w:t>
      </w:r>
      <w:bookmarkEnd w:id="16"/>
      <w:bookmarkEnd w:id="17"/>
    </w:p>
    <w:p w14:paraId="0D93D117">
      <w:pPr>
        <w:pStyle w:val="5"/>
        <w:overflowPunct w:val="0"/>
        <w:adjustRightInd w:val="0"/>
        <w:snapToGrid w:val="0"/>
        <w:spacing w:after="0" w:line="46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9.1 交货地点：甲方指定地点。</w:t>
      </w:r>
    </w:p>
    <w:p w14:paraId="2287957E">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9.2 交货日期：</w:t>
      </w:r>
      <w:r>
        <w:rPr>
          <w:rFonts w:hint="eastAsia" w:ascii="宋体" w:hAnsi="宋体" w:eastAsia="宋体" w:cs="宋体"/>
          <w:sz w:val="24"/>
          <w:szCs w:val="24"/>
          <w:u w:val="single"/>
          <w:lang w:val="en-US" w:eastAsia="zh-CN"/>
        </w:rPr>
        <w:t xml:space="preserve">  合同签订后30日历天    </w:t>
      </w:r>
      <w:r>
        <w:rPr>
          <w:rFonts w:hint="eastAsia" w:ascii="宋体" w:hAnsi="宋体" w:eastAsia="宋体" w:cs="宋体"/>
          <w:sz w:val="24"/>
          <w:szCs w:val="24"/>
        </w:rPr>
        <w:t>。</w:t>
      </w:r>
    </w:p>
    <w:p w14:paraId="1991104C">
      <w:pPr>
        <w:tabs>
          <w:tab w:val="left" w:pos="567"/>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9.3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3B5FECBB">
      <w:pPr>
        <w:pStyle w:val="5"/>
        <w:tabs>
          <w:tab w:val="left" w:pos="709"/>
        </w:tabs>
        <w:overflowPunct w:val="0"/>
        <w:adjustRightInd w:val="0"/>
        <w:snapToGrid w:val="0"/>
        <w:spacing w:after="0"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9.4 交货时甲方对乙方承诺的产品包装的环保材料进行验收，必要时乙方需提供检测报告，甲方发现虚假承诺时，将扣除总货款的5%作为处罚。</w:t>
      </w:r>
    </w:p>
    <w:p w14:paraId="4BF54F96">
      <w:pPr>
        <w:overflowPunct w:val="0"/>
        <w:adjustRightInd w:val="0"/>
        <w:snapToGrid w:val="0"/>
        <w:spacing w:line="460" w:lineRule="exact"/>
        <w:ind w:firstLine="482"/>
        <w:rPr>
          <w:rFonts w:hint="eastAsia" w:ascii="宋体" w:hAnsi="宋体" w:eastAsia="宋体" w:cs="宋体"/>
          <w:b/>
          <w:bCs/>
          <w:sz w:val="24"/>
          <w:szCs w:val="24"/>
        </w:rPr>
      </w:pPr>
      <w:bookmarkStart w:id="18" w:name="_Toc4864"/>
      <w:bookmarkStart w:id="19" w:name="_Toc25880"/>
      <w:r>
        <w:rPr>
          <w:rFonts w:hint="eastAsia" w:ascii="宋体" w:hAnsi="宋体" w:eastAsia="宋体" w:cs="宋体"/>
          <w:b/>
          <w:bCs/>
          <w:sz w:val="24"/>
          <w:szCs w:val="24"/>
        </w:rPr>
        <w:t>10.质量保证</w:t>
      </w:r>
      <w:bookmarkEnd w:id="18"/>
      <w:bookmarkEnd w:id="19"/>
    </w:p>
    <w:p w14:paraId="6020E969">
      <w:pPr>
        <w:tabs>
          <w:tab w:val="left" w:pos="810"/>
        </w:tabs>
        <w:overflowPunct w:val="0"/>
        <w:adjustRightInd w:val="0"/>
        <w:snapToGrid w:val="0"/>
        <w:spacing w:line="46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10.1自设备验收合格后，货物（产品）的原厂质保期为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3</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年；投标人的售后服务期为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10</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年(含质保期)，质保期内乙方提供免费维修，售后服务期间内甲方支付材料费。</w:t>
      </w:r>
    </w:p>
    <w:p w14:paraId="33914C57">
      <w:pPr>
        <w:tabs>
          <w:tab w:val="left" w:pos="810"/>
        </w:tabs>
        <w:overflowPunct w:val="0"/>
        <w:adjustRightInd w:val="0"/>
        <w:snapToGrid w:val="0"/>
        <w:spacing w:line="46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10.2货物必须是原厂生产的未曾使用过的全新的合格产品，所用材料必须保证质量可靠、原材料进货渠道正规，符合国家质量性能检测标准及该产品的出厂标准。</w:t>
      </w:r>
    </w:p>
    <w:p w14:paraId="567A6B81">
      <w:pPr>
        <w:tabs>
          <w:tab w:val="left" w:pos="810"/>
          <w:tab w:val="left" w:pos="993"/>
        </w:tabs>
        <w:overflowPunct w:val="0"/>
        <w:adjustRightInd w:val="0"/>
        <w:snapToGrid w:val="0"/>
        <w:spacing w:line="46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10.3</w:t>
      </w:r>
      <w:r>
        <w:rPr>
          <w:rFonts w:hint="eastAsia" w:ascii="宋体" w:hAnsi="宋体" w:eastAsia="宋体" w:cs="宋体"/>
          <w:color w:val="000000"/>
          <w:sz w:val="24"/>
          <w:szCs w:val="24"/>
        </w:rPr>
        <w:tab/>
      </w:r>
      <w:r>
        <w:rPr>
          <w:rFonts w:hint="eastAsia" w:ascii="宋体" w:hAnsi="宋体" w:eastAsia="宋体" w:cs="宋体"/>
          <w:color w:val="000000"/>
          <w:sz w:val="24"/>
          <w:szCs w:val="24"/>
        </w:rPr>
        <w:t>质量标准按照最新颁布的国家标准、行业标准或制造商企业标准确定，上述标准不一致的，以严格标准为准。</w:t>
      </w:r>
    </w:p>
    <w:p w14:paraId="328BC07A">
      <w:pPr>
        <w:tabs>
          <w:tab w:val="left" w:pos="810"/>
        </w:tabs>
        <w:overflowPunct w:val="0"/>
        <w:adjustRightInd w:val="0"/>
        <w:snapToGrid w:val="0"/>
        <w:spacing w:line="460" w:lineRule="exact"/>
        <w:ind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10.4货物参数指标必须与其标示的技术指标项符合，甲方有权在货物的有效质保期内依据技术指标对该货物进行技术校验，其主要的技术参数达不到标准时，甲方将按本合同第13条相关条款执行。</w:t>
      </w:r>
    </w:p>
    <w:p w14:paraId="3D481DB6">
      <w:pPr>
        <w:tabs>
          <w:tab w:val="left" w:pos="810"/>
        </w:tabs>
        <w:overflowPunct w:val="0"/>
        <w:adjustRightInd w:val="0"/>
        <w:snapToGrid w:val="0"/>
        <w:spacing w:line="46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10.5 乙方所提供货物还应符合国家和陕西省有关安全、环保、节能之规定，“3C”认证的货物（产品）应加贴“3C”认证标志。</w:t>
      </w:r>
    </w:p>
    <w:p w14:paraId="3155297E">
      <w:pPr>
        <w:tabs>
          <w:tab w:val="left" w:pos="810"/>
        </w:tabs>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10.6 货物制造质量出现问题，乙方应负责三包（包修、包换、包退），费用由乙方负担。</w:t>
      </w:r>
    </w:p>
    <w:p w14:paraId="00726E2E">
      <w:pPr>
        <w:overflowPunct w:val="0"/>
        <w:adjustRightInd w:val="0"/>
        <w:snapToGrid w:val="0"/>
        <w:spacing w:line="460" w:lineRule="exact"/>
        <w:ind w:firstLine="482"/>
        <w:rPr>
          <w:rFonts w:hint="eastAsia" w:ascii="宋体" w:hAnsi="宋体" w:eastAsia="宋体" w:cs="宋体"/>
          <w:b/>
          <w:bCs/>
          <w:sz w:val="24"/>
          <w:szCs w:val="24"/>
        </w:rPr>
      </w:pPr>
      <w:bookmarkStart w:id="20" w:name="_Toc30488"/>
      <w:bookmarkStart w:id="21" w:name="_Toc14336"/>
      <w:r>
        <w:rPr>
          <w:rFonts w:hint="eastAsia" w:ascii="宋体" w:hAnsi="宋体" w:eastAsia="宋体" w:cs="宋体"/>
          <w:b/>
          <w:bCs/>
          <w:sz w:val="24"/>
          <w:szCs w:val="24"/>
        </w:rPr>
        <w:t>11.验收及验收标准</w:t>
      </w:r>
      <w:bookmarkEnd w:id="20"/>
      <w:bookmarkEnd w:id="21"/>
    </w:p>
    <w:p w14:paraId="3290D861">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11.1货物验收由甲方组织，乙方配合，并按下列程序进行：</w:t>
      </w:r>
    </w:p>
    <w:p w14:paraId="18A751EA">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11.1.1货物初验：乙方应在货物到货之日起</w:t>
      </w:r>
      <w:r>
        <w:rPr>
          <w:rFonts w:hint="eastAsia" w:ascii="宋体" w:hAnsi="宋体" w:eastAsia="宋体" w:cs="宋体"/>
          <w:szCs w:val="24"/>
          <w:u w:val="single"/>
        </w:rPr>
        <w:t xml:space="preserve">   </w:t>
      </w:r>
      <w:r>
        <w:rPr>
          <w:rFonts w:hint="eastAsia" w:ascii="宋体" w:hAnsi="宋体" w:eastAsia="宋体" w:cs="宋体"/>
          <w:szCs w:val="24"/>
        </w:rPr>
        <w:t>日内全部完成安装调试完毕；乙方安装调试完毕后</w:t>
      </w:r>
      <w:r>
        <w:rPr>
          <w:rFonts w:hint="eastAsia" w:ascii="宋体" w:hAnsi="宋体" w:eastAsia="宋体" w:cs="宋体"/>
          <w:szCs w:val="24"/>
          <w:u w:val="single"/>
        </w:rPr>
        <w:t xml:space="preserve">   </w:t>
      </w:r>
      <w:r>
        <w:rPr>
          <w:rFonts w:hint="eastAsia" w:ascii="宋体" w:hAnsi="宋体" w:eastAsia="宋体" w:cs="宋体"/>
          <w:szCs w:val="24"/>
        </w:rPr>
        <w:t>日内完成初步验收；初步验收合格后，进入</w:t>
      </w:r>
      <w:r>
        <w:rPr>
          <w:rFonts w:hint="eastAsia" w:ascii="宋体" w:hAnsi="宋体" w:eastAsia="宋体" w:cs="宋体"/>
          <w:szCs w:val="24"/>
          <w:u w:val="single"/>
        </w:rPr>
        <w:t xml:space="preserve">   </w:t>
      </w:r>
      <w:r>
        <w:rPr>
          <w:rFonts w:hint="eastAsia" w:ascii="宋体" w:hAnsi="宋体" w:eastAsia="宋体" w:cs="宋体"/>
          <w:szCs w:val="24"/>
        </w:rPr>
        <w:t>日试用期；试用期间发生重大质量问题，修复后试用期相应顺延。</w:t>
      </w:r>
    </w:p>
    <w:p w14:paraId="1D27E85B">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11.1.2 货物终验：试用期结束后</w:t>
      </w:r>
      <w:r>
        <w:rPr>
          <w:rFonts w:hint="eastAsia" w:ascii="宋体" w:hAnsi="宋体" w:eastAsia="宋体" w:cs="宋体"/>
          <w:szCs w:val="24"/>
          <w:u w:val="single"/>
        </w:rPr>
        <w:t xml:space="preserve">   </w:t>
      </w:r>
      <w:r>
        <w:rPr>
          <w:rFonts w:hint="eastAsia" w:ascii="宋体" w:hAnsi="宋体" w:eastAsia="宋体" w:cs="宋体"/>
          <w:szCs w:val="24"/>
        </w:rPr>
        <w:t>日内完成最终验收。</w:t>
      </w:r>
    </w:p>
    <w:p w14:paraId="43B9A3DE">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11.1.3 质量验收合格，双方签署质量验收报告。</w:t>
      </w:r>
    </w:p>
    <w:p w14:paraId="78ADED22">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11.2 货物验收依据：</w:t>
      </w:r>
    </w:p>
    <w:p w14:paraId="0BAC4452">
      <w:pPr>
        <w:pStyle w:val="3"/>
        <w:overflowPunct w:val="0"/>
        <w:adjustRightInd w:val="0"/>
        <w:snapToGrid w:val="0"/>
        <w:spacing w:line="460" w:lineRule="exact"/>
        <w:ind w:firstLine="480"/>
        <w:rPr>
          <w:rFonts w:hint="eastAsia" w:ascii="宋体" w:hAnsi="宋体" w:eastAsia="宋体" w:cs="宋体"/>
          <w:sz w:val="24"/>
        </w:rPr>
      </w:pPr>
      <w:r>
        <w:rPr>
          <w:rFonts w:hint="eastAsia" w:ascii="宋体" w:hAnsi="宋体" w:eastAsia="宋体" w:cs="宋体"/>
          <w:sz w:val="24"/>
        </w:rPr>
        <w:t>11.2.1 采购合同及补充协议；</w:t>
      </w:r>
    </w:p>
    <w:p w14:paraId="4F33A8F8">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11.2.2 质检部门抽样检查货物（产品）合格的检测报告（按甲方要求）。</w:t>
      </w:r>
    </w:p>
    <w:p w14:paraId="698F2F37">
      <w:pPr>
        <w:pStyle w:val="3"/>
        <w:overflowPunct w:val="0"/>
        <w:adjustRightInd w:val="0"/>
        <w:snapToGrid w:val="0"/>
        <w:spacing w:line="460" w:lineRule="exact"/>
        <w:ind w:firstLine="480"/>
        <w:rPr>
          <w:rFonts w:hint="eastAsia" w:ascii="宋体" w:hAnsi="宋体" w:eastAsia="宋体" w:cs="宋体"/>
          <w:sz w:val="24"/>
        </w:rPr>
      </w:pPr>
      <w:r>
        <w:rPr>
          <w:rFonts w:hint="eastAsia" w:ascii="宋体" w:hAnsi="宋体" w:eastAsia="宋体" w:cs="宋体"/>
          <w:sz w:val="24"/>
        </w:rPr>
        <w:t>11.2.3 招标文件；</w:t>
      </w:r>
    </w:p>
    <w:p w14:paraId="615E1850">
      <w:pPr>
        <w:pStyle w:val="3"/>
        <w:overflowPunct w:val="0"/>
        <w:adjustRightInd w:val="0"/>
        <w:snapToGrid w:val="0"/>
        <w:spacing w:line="460" w:lineRule="exact"/>
        <w:ind w:firstLine="480"/>
        <w:rPr>
          <w:rFonts w:hint="eastAsia" w:ascii="宋体" w:hAnsi="宋体" w:eastAsia="宋体" w:cs="宋体"/>
          <w:sz w:val="24"/>
        </w:rPr>
      </w:pPr>
      <w:r>
        <w:rPr>
          <w:rFonts w:hint="eastAsia" w:ascii="宋体" w:hAnsi="宋体" w:eastAsia="宋体" w:cs="宋体"/>
          <w:sz w:val="24"/>
        </w:rPr>
        <w:t>11.2.4 投标文件。</w:t>
      </w:r>
    </w:p>
    <w:p w14:paraId="050A4FE2">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11.3 货物验收时发现问题的处理办法：</w:t>
      </w:r>
    </w:p>
    <w:p w14:paraId="124B434E">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11.3.1 乙方提供不符合招标文件和本合同规定的货物（产品），甲方有权拒绝接受；</w:t>
      </w:r>
    </w:p>
    <w:p w14:paraId="0AE8C028">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061DE755">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11.3.4 如货物经乙方</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3</w:t>
      </w:r>
      <w:r>
        <w:rPr>
          <w:rFonts w:hint="eastAsia" w:ascii="宋体" w:hAnsi="宋体" w:eastAsia="宋体" w:cs="宋体"/>
          <w:szCs w:val="24"/>
          <w:u w:val="single"/>
        </w:rPr>
        <w:t xml:space="preserve"> </w:t>
      </w:r>
      <w:r>
        <w:rPr>
          <w:rFonts w:hint="eastAsia" w:ascii="宋体" w:hAnsi="宋体" w:eastAsia="宋体" w:cs="宋体"/>
          <w:szCs w:val="24"/>
        </w:rPr>
        <w:t>次维修仍不能达到合同约定的质量标准，甲方有权退货，并视作乙方不能交付货物而须支付违约赔偿金给甲方，甲方还可依法追究乙方的违约责任； </w:t>
      </w:r>
    </w:p>
    <w:p w14:paraId="587F0488">
      <w:pPr>
        <w:pStyle w:val="14"/>
        <w:widowControl w:val="0"/>
        <w:tabs>
          <w:tab w:val="left" w:pos="426"/>
        </w:tabs>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11.3.5</w:t>
      </w:r>
      <w:r>
        <w:rPr>
          <w:rFonts w:hint="eastAsia" w:ascii="宋体" w:hAnsi="宋体" w:eastAsia="宋体" w:cs="宋体"/>
          <w:szCs w:val="24"/>
        </w:rPr>
        <w:tab/>
      </w:r>
      <w:r>
        <w:rPr>
          <w:rFonts w:hint="eastAsia" w:ascii="宋体" w:hAnsi="宋体" w:eastAsia="宋体" w:cs="宋体"/>
          <w:szCs w:val="24"/>
        </w:rPr>
        <w:t>货物安装完成后</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30</w:t>
      </w:r>
      <w:r>
        <w:rPr>
          <w:rFonts w:hint="eastAsia" w:ascii="宋体" w:hAnsi="宋体" w:eastAsia="宋体" w:cs="宋体"/>
          <w:szCs w:val="24"/>
          <w:u w:val="single"/>
        </w:rPr>
        <w:t xml:space="preserve"> </w:t>
      </w:r>
      <w:r>
        <w:rPr>
          <w:rFonts w:hint="eastAsia" w:ascii="宋体" w:hAnsi="宋体" w:eastAsia="宋体" w:cs="宋体"/>
          <w:szCs w:val="24"/>
        </w:rPr>
        <w:t>日内，甲方无故不进行验收工作并已使用货物的，视同已安装调试完成并验收合格；</w:t>
      </w:r>
    </w:p>
    <w:p w14:paraId="50C2AA9D">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11.3.6 乙方不能完整交付货物及本条第一款规定的单证和工具的，必须负责补齐，否则视为未按合同约定交货。</w:t>
      </w:r>
    </w:p>
    <w:p w14:paraId="16B1A496">
      <w:pPr>
        <w:overflowPunct w:val="0"/>
        <w:adjustRightInd w:val="0"/>
        <w:snapToGrid w:val="0"/>
        <w:spacing w:line="460" w:lineRule="exact"/>
        <w:ind w:firstLine="482"/>
        <w:rPr>
          <w:rFonts w:hint="eastAsia" w:ascii="宋体" w:hAnsi="宋体" w:eastAsia="宋体" w:cs="宋体"/>
          <w:b/>
          <w:bCs/>
          <w:sz w:val="24"/>
          <w:szCs w:val="24"/>
        </w:rPr>
      </w:pPr>
      <w:bookmarkStart w:id="22" w:name="_Toc29064"/>
      <w:bookmarkStart w:id="23" w:name="_Toc4718"/>
      <w:r>
        <w:rPr>
          <w:rFonts w:hint="eastAsia" w:ascii="宋体" w:hAnsi="宋体" w:eastAsia="宋体" w:cs="宋体"/>
          <w:b/>
          <w:bCs/>
          <w:sz w:val="24"/>
          <w:szCs w:val="24"/>
        </w:rPr>
        <w:t>12.技术培训</w:t>
      </w:r>
      <w:bookmarkEnd w:id="22"/>
      <w:bookmarkEnd w:id="23"/>
    </w:p>
    <w:p w14:paraId="344D2186">
      <w:pPr>
        <w:pStyle w:val="5"/>
        <w:overflowPunct w:val="0"/>
        <w:adjustRightInd w:val="0"/>
        <w:snapToGrid w:val="0"/>
        <w:spacing w:after="0" w:line="460" w:lineRule="exact"/>
        <w:ind w:firstLine="480" w:firstLineChars="200"/>
        <w:rPr>
          <w:rFonts w:hint="eastAsia" w:ascii="宋体" w:hAnsi="宋体" w:eastAsia="宋体" w:cs="宋体"/>
          <w:b w:val="0"/>
          <w:bCs w:val="0"/>
          <w:sz w:val="24"/>
          <w:szCs w:val="24"/>
          <w:u w:val="single"/>
          <w:shd w:val="clear" w:color="auto" w:fill="FFFFFF"/>
          <w:lang w:val="en-US" w:eastAsia="zh-CN"/>
        </w:rPr>
      </w:pPr>
      <w:r>
        <w:rPr>
          <w:rFonts w:hint="eastAsia" w:ascii="宋体" w:hAnsi="宋体" w:eastAsia="宋体" w:cs="宋体"/>
          <w:sz w:val="24"/>
          <w:szCs w:val="24"/>
          <w:shd w:val="clear" w:color="auto" w:fill="FFFFFF"/>
        </w:rPr>
        <w:t>乙方向甲方提供</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天的设备使用人员现场例行免费培训，培训内容包括设备的使用、一般的维修、维护及保养等；食宿自理（各自负责）；其他由甲乙双方协定。</w:t>
      </w:r>
      <w:r>
        <w:rPr>
          <w:rFonts w:hint="eastAsia" w:ascii="宋体" w:hAnsi="宋体" w:eastAsia="宋体" w:cs="宋体"/>
          <w:sz w:val="24"/>
          <w:szCs w:val="24"/>
          <w:shd w:val="clear" w:color="auto" w:fill="FFFFFF"/>
          <w:lang w:eastAsia="zh-CN"/>
        </w:rPr>
        <w:t>乙方项目负责人</w:t>
      </w:r>
      <w:r>
        <w:rPr>
          <w:rFonts w:hint="eastAsia" w:ascii="宋体" w:hAnsi="宋体" w:eastAsia="宋体" w:cs="宋体"/>
          <w:sz w:val="24"/>
          <w:szCs w:val="24"/>
          <w:shd w:val="clear" w:color="auto" w:fill="FFFFFF"/>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 联系电话：</w:t>
      </w:r>
      <w:r>
        <w:rPr>
          <w:rFonts w:hint="eastAsia" w:ascii="宋体" w:hAnsi="宋体" w:eastAsia="宋体" w:cs="宋体"/>
          <w:b/>
          <w:bCs/>
          <w:sz w:val="24"/>
          <w:szCs w:val="24"/>
          <w:u w:val="single"/>
        </w:rPr>
        <w:t xml:space="preserve">          </w:t>
      </w:r>
      <w:r>
        <w:rPr>
          <w:rFonts w:hint="eastAsia" w:ascii="宋体" w:hAnsi="宋体" w:eastAsia="宋体" w:cs="宋体"/>
          <w:b w:val="0"/>
          <w:bCs w:val="0"/>
          <w:sz w:val="24"/>
          <w:szCs w:val="24"/>
          <w:u w:val="none"/>
          <w:lang w:eastAsia="zh-CN"/>
        </w:rPr>
        <w:t>。乙方在合同期内不得更换项目负责人，如需更换应征得甲方同意后方可更换。</w:t>
      </w:r>
    </w:p>
    <w:p w14:paraId="1A9FA22B">
      <w:pPr>
        <w:overflowPunct w:val="0"/>
        <w:adjustRightInd w:val="0"/>
        <w:snapToGrid w:val="0"/>
        <w:spacing w:line="460" w:lineRule="exact"/>
        <w:ind w:firstLine="482"/>
        <w:rPr>
          <w:rFonts w:hint="eastAsia" w:ascii="宋体" w:hAnsi="宋体" w:eastAsia="宋体" w:cs="宋体"/>
          <w:b/>
          <w:bCs/>
          <w:sz w:val="24"/>
          <w:szCs w:val="24"/>
        </w:rPr>
      </w:pPr>
      <w:bookmarkStart w:id="24" w:name="_Toc6139"/>
      <w:bookmarkStart w:id="25" w:name="_Toc11999"/>
      <w:r>
        <w:rPr>
          <w:rFonts w:hint="eastAsia" w:ascii="宋体" w:hAnsi="宋体" w:eastAsia="宋体" w:cs="宋体"/>
          <w:b/>
          <w:bCs/>
          <w:sz w:val="24"/>
          <w:szCs w:val="24"/>
        </w:rPr>
        <w:t>13.技术支持</w:t>
      </w:r>
      <w:bookmarkEnd w:id="24"/>
      <w:bookmarkEnd w:id="25"/>
    </w:p>
    <w:p w14:paraId="455EAF49">
      <w:pPr>
        <w:pStyle w:val="5"/>
        <w:overflowPunct w:val="0"/>
        <w:adjustRightInd w:val="0"/>
        <w:snapToGrid w:val="0"/>
        <w:spacing w:after="0" w:line="460" w:lineRule="exact"/>
        <w:rPr>
          <w:rFonts w:hint="eastAsia" w:ascii="宋体" w:hAnsi="宋体" w:eastAsia="宋体" w:cs="宋体"/>
          <w:b/>
          <w:bCs/>
          <w:sz w:val="24"/>
          <w:szCs w:val="24"/>
        </w:rPr>
      </w:pPr>
      <w:r>
        <w:rPr>
          <w:rFonts w:hint="eastAsia" w:ascii="宋体" w:hAnsi="宋体" w:eastAsia="宋体" w:cs="宋体"/>
          <w:sz w:val="24"/>
          <w:szCs w:val="24"/>
          <w:shd w:val="clear" w:color="auto" w:fill="FFFFFF"/>
        </w:rPr>
        <w:t xml:space="preserve">    甲方在设备使用过程中发生技术质量问题，乙方应提供及时有效的技术支持。乙方技术支持联系人：</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 联系电话：</w:t>
      </w:r>
      <w:r>
        <w:rPr>
          <w:rFonts w:hint="eastAsia" w:ascii="宋体" w:hAnsi="宋体" w:eastAsia="宋体" w:cs="宋体"/>
          <w:b/>
          <w:bCs/>
          <w:sz w:val="24"/>
          <w:szCs w:val="24"/>
          <w:u w:val="single"/>
        </w:rPr>
        <w:t xml:space="preserve">          </w:t>
      </w:r>
    </w:p>
    <w:p w14:paraId="449B5ED9">
      <w:pPr>
        <w:overflowPunct w:val="0"/>
        <w:adjustRightInd w:val="0"/>
        <w:snapToGrid w:val="0"/>
        <w:spacing w:line="460" w:lineRule="exact"/>
        <w:ind w:firstLine="482"/>
        <w:rPr>
          <w:rFonts w:hint="eastAsia" w:ascii="宋体" w:hAnsi="宋体" w:eastAsia="宋体" w:cs="宋体"/>
          <w:b/>
          <w:bCs/>
          <w:sz w:val="24"/>
          <w:szCs w:val="24"/>
        </w:rPr>
      </w:pPr>
      <w:bookmarkStart w:id="26" w:name="_Toc1419"/>
      <w:bookmarkStart w:id="27" w:name="_Toc9936"/>
      <w:r>
        <w:rPr>
          <w:rFonts w:hint="eastAsia" w:ascii="宋体" w:hAnsi="宋体" w:eastAsia="宋体" w:cs="宋体"/>
          <w:b/>
          <w:bCs/>
          <w:sz w:val="24"/>
          <w:szCs w:val="24"/>
        </w:rPr>
        <w:t>14.售后服务要求</w:t>
      </w:r>
      <w:bookmarkEnd w:id="26"/>
      <w:bookmarkEnd w:id="27"/>
    </w:p>
    <w:p w14:paraId="1739C813">
      <w:pPr>
        <w:pStyle w:val="3"/>
        <w:overflowPunct w:val="0"/>
        <w:adjustRightInd w:val="0"/>
        <w:snapToGrid w:val="0"/>
        <w:spacing w:line="460" w:lineRule="exact"/>
        <w:ind w:firstLine="480"/>
        <w:rPr>
          <w:rFonts w:hint="eastAsia" w:ascii="宋体" w:hAnsi="宋体" w:eastAsia="宋体" w:cs="宋体"/>
          <w:kern w:val="0"/>
          <w:sz w:val="24"/>
        </w:rPr>
      </w:pPr>
      <w:r>
        <w:rPr>
          <w:rFonts w:hint="eastAsia" w:ascii="宋体" w:hAnsi="宋体" w:eastAsia="宋体" w:cs="宋体"/>
          <w:kern w:val="0"/>
          <w:sz w:val="24"/>
        </w:rPr>
        <w:t>14.1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14:paraId="07B202B2">
      <w:pPr>
        <w:pStyle w:val="3"/>
        <w:overflowPunct w:val="0"/>
        <w:adjustRightInd w:val="0"/>
        <w:snapToGrid w:val="0"/>
        <w:spacing w:line="460" w:lineRule="exact"/>
        <w:ind w:firstLine="480"/>
        <w:rPr>
          <w:rFonts w:hint="eastAsia" w:ascii="宋体" w:hAnsi="宋体" w:eastAsia="宋体" w:cs="宋体"/>
          <w:kern w:val="0"/>
          <w:sz w:val="24"/>
        </w:rPr>
      </w:pPr>
      <w:r>
        <w:rPr>
          <w:rFonts w:hint="eastAsia" w:ascii="宋体" w:hAnsi="宋体" w:eastAsia="宋体" w:cs="宋体"/>
          <w:kern w:val="0"/>
          <w:sz w:val="24"/>
        </w:rPr>
        <w:t>14.2 凡设备发生质量问题或出现其他故障，接到甲方通知后，乙方的服务响应时间不超过</w:t>
      </w:r>
      <w:r>
        <w:rPr>
          <w:rFonts w:hint="eastAsia" w:ascii="宋体" w:hAnsi="宋体" w:eastAsia="宋体" w:cs="宋体"/>
          <w:kern w:val="0"/>
          <w:sz w:val="24"/>
          <w:u w:val="single"/>
        </w:rPr>
        <w:t xml:space="preserve">  </w:t>
      </w:r>
      <w:r>
        <w:rPr>
          <w:rFonts w:hint="eastAsia" w:ascii="宋体" w:hAnsi="宋体" w:eastAsia="宋体" w:cs="宋体"/>
          <w:kern w:val="0"/>
          <w:sz w:val="24"/>
        </w:rPr>
        <w:t>小时，并且在</w:t>
      </w:r>
      <w:r>
        <w:rPr>
          <w:rFonts w:hint="eastAsia" w:ascii="宋体" w:hAnsi="宋体" w:eastAsia="宋体" w:cs="宋体"/>
          <w:kern w:val="0"/>
          <w:sz w:val="24"/>
          <w:u w:val="single"/>
        </w:rPr>
        <w:t xml:space="preserve">  </w:t>
      </w:r>
      <w:r>
        <w:rPr>
          <w:rFonts w:hint="eastAsia" w:ascii="宋体" w:hAnsi="宋体" w:eastAsia="宋体" w:cs="宋体"/>
          <w:kern w:val="0"/>
          <w:sz w:val="24"/>
        </w:rPr>
        <w:t>小时内派专业维修人员到达现场，排除故障的期限最长不得超过</w:t>
      </w:r>
      <w:r>
        <w:rPr>
          <w:rFonts w:hint="eastAsia" w:ascii="宋体" w:hAnsi="宋体" w:eastAsia="宋体" w:cs="宋体"/>
          <w:kern w:val="0"/>
          <w:sz w:val="24"/>
          <w:u w:val="single"/>
        </w:rPr>
        <w:t xml:space="preserve">   </w:t>
      </w:r>
      <w:r>
        <w:rPr>
          <w:rFonts w:hint="eastAsia" w:ascii="宋体" w:hAnsi="宋体" w:eastAsia="宋体" w:cs="宋体"/>
          <w:kern w:val="0"/>
          <w:sz w:val="24"/>
        </w:rPr>
        <w:t>个工作日，否则甲方有权指定第三方维修，维修费用由乙方承担。</w:t>
      </w:r>
    </w:p>
    <w:p w14:paraId="19EA800F">
      <w:pPr>
        <w:pStyle w:val="3"/>
        <w:overflowPunct w:val="0"/>
        <w:adjustRightInd w:val="0"/>
        <w:snapToGrid w:val="0"/>
        <w:spacing w:line="460" w:lineRule="exact"/>
        <w:ind w:firstLine="480"/>
        <w:rPr>
          <w:rFonts w:hint="eastAsia" w:ascii="宋体" w:hAnsi="宋体" w:eastAsia="宋体" w:cs="宋体"/>
          <w:kern w:val="0"/>
          <w:sz w:val="24"/>
        </w:rPr>
      </w:pPr>
      <w:r>
        <w:rPr>
          <w:rFonts w:hint="eastAsia" w:ascii="宋体" w:hAnsi="宋体" w:eastAsia="宋体" w:cs="宋体"/>
          <w:kern w:val="0"/>
          <w:sz w:val="24"/>
        </w:rPr>
        <w:t>14.3 免费提供每周7×24小时不间断的电话支持服务，解答用户在使用过程中遇到的问题，及时提出解决问题的建议和对策。</w:t>
      </w:r>
    </w:p>
    <w:p w14:paraId="6E668F1A">
      <w:pPr>
        <w:pStyle w:val="3"/>
        <w:overflowPunct w:val="0"/>
        <w:adjustRightInd w:val="0"/>
        <w:snapToGrid w:val="0"/>
        <w:spacing w:line="460" w:lineRule="exact"/>
        <w:ind w:firstLine="480"/>
        <w:rPr>
          <w:rFonts w:hint="eastAsia" w:ascii="宋体" w:hAnsi="宋体" w:eastAsia="宋体" w:cs="宋体"/>
          <w:kern w:val="0"/>
          <w:sz w:val="24"/>
        </w:rPr>
      </w:pPr>
      <w:r>
        <w:rPr>
          <w:rFonts w:hint="eastAsia" w:ascii="宋体" w:hAnsi="宋体" w:eastAsia="宋体" w:cs="宋体"/>
          <w:kern w:val="0"/>
          <w:sz w:val="24"/>
        </w:rPr>
        <w:t>14.4 定期派专业维修人员到现场走访，给予检查维护。并向甲方提供巡检单（一式两份，由双方签字确认），内容包含但不限于巡检时间、巡检内容、巡检结果。</w:t>
      </w:r>
    </w:p>
    <w:p w14:paraId="7BFA2854">
      <w:pPr>
        <w:pStyle w:val="3"/>
        <w:overflowPunct w:val="0"/>
        <w:adjustRightInd w:val="0"/>
        <w:snapToGrid w:val="0"/>
        <w:spacing w:line="460" w:lineRule="exact"/>
        <w:ind w:firstLine="480"/>
        <w:rPr>
          <w:rFonts w:hint="eastAsia" w:ascii="宋体" w:hAnsi="宋体" w:eastAsia="宋体" w:cs="宋体"/>
          <w:kern w:val="0"/>
          <w:sz w:val="24"/>
        </w:rPr>
      </w:pPr>
      <w:r>
        <w:rPr>
          <w:rFonts w:hint="eastAsia" w:ascii="宋体" w:hAnsi="宋体" w:eastAsia="宋体" w:cs="宋体"/>
          <w:kern w:val="0"/>
          <w:sz w:val="24"/>
        </w:rPr>
        <w:t>14.5 款项结清前，对所供产品进行一次全面检测、保养和维护。</w:t>
      </w:r>
    </w:p>
    <w:p w14:paraId="63C7EA3A">
      <w:pPr>
        <w:overflowPunct w:val="0"/>
        <w:adjustRightInd w:val="0"/>
        <w:snapToGrid w:val="0"/>
        <w:spacing w:line="460" w:lineRule="exact"/>
        <w:ind w:firstLine="482"/>
        <w:rPr>
          <w:rFonts w:hint="eastAsia" w:ascii="宋体" w:hAnsi="宋体" w:eastAsia="宋体" w:cs="宋体"/>
          <w:b/>
          <w:bCs/>
          <w:sz w:val="24"/>
          <w:szCs w:val="24"/>
        </w:rPr>
      </w:pPr>
      <w:bookmarkStart w:id="28" w:name="_Toc29588"/>
      <w:bookmarkStart w:id="29" w:name="_Toc9696"/>
      <w:r>
        <w:rPr>
          <w:rFonts w:hint="eastAsia" w:ascii="宋体" w:hAnsi="宋体" w:eastAsia="宋体" w:cs="宋体"/>
          <w:b/>
          <w:bCs/>
          <w:sz w:val="24"/>
          <w:szCs w:val="24"/>
        </w:rPr>
        <w:t>15.违约责任</w:t>
      </w:r>
      <w:bookmarkEnd w:id="28"/>
      <w:bookmarkEnd w:id="29"/>
    </w:p>
    <w:p w14:paraId="7EEE873F">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15.1 本合同若与甲方的上级管理机关的政策性行为或其他规定发生冲突，甲方有权与乙方协商调整合同内容或终止合同执行。</w:t>
      </w:r>
    </w:p>
    <w:p w14:paraId="0806BF63">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15.2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2</w:t>
      </w:r>
      <w:r>
        <w:rPr>
          <w:rFonts w:hint="eastAsia" w:ascii="宋体" w:hAnsi="宋体" w:eastAsia="宋体" w:cs="宋体"/>
          <w:sz w:val="24"/>
          <w:szCs w:val="24"/>
          <w:u w:val="single"/>
          <w:shd w:val="clear" w:color="auto" w:fill="FFFFFF"/>
          <w:lang w:val="en-US" w:eastAsia="zh-CN"/>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14:paraId="0D309147">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15.3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2</w:t>
      </w:r>
      <w:r>
        <w:rPr>
          <w:rFonts w:hint="eastAsia" w:ascii="宋体" w:hAnsi="宋体" w:eastAsia="宋体" w:cs="宋体"/>
          <w:sz w:val="24"/>
          <w:szCs w:val="24"/>
          <w:u w:val="single"/>
          <w:shd w:val="clear" w:color="auto" w:fill="FFFFFF"/>
          <w:lang w:val="en-US" w:eastAsia="zh-CN"/>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14:paraId="2F30AB1A">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15.4 除发生不可抗力事件（不可抗力事件仅指自然灾害、战争）外，如乙方逾期交货或安装调试逾期，则每逾期一天，乙方按合同总价的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1</w:t>
      </w:r>
      <w:r>
        <w:rPr>
          <w:rFonts w:hint="eastAsia" w:ascii="宋体" w:hAnsi="宋体" w:eastAsia="宋体" w:cs="宋体"/>
          <w:sz w:val="24"/>
          <w:szCs w:val="24"/>
          <w:u w:val="single"/>
          <w:shd w:val="clear" w:color="auto" w:fill="FFFFFF"/>
          <w:lang w:val="en-US" w:eastAsia="zh-CN"/>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向甲方支付违约金，逾期30天，甲方有权解除合同并追究乙方违约责任，乙方应返还甲方已支付的全部款项，并按合同总价款的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2</w:t>
      </w:r>
      <w:r>
        <w:rPr>
          <w:rFonts w:hint="eastAsia" w:ascii="宋体" w:hAnsi="宋体" w:eastAsia="宋体" w:cs="宋体"/>
          <w:sz w:val="24"/>
          <w:szCs w:val="24"/>
          <w:u w:val="single"/>
          <w:shd w:val="clear" w:color="auto" w:fill="FFFFFF"/>
          <w:lang w:val="en-US" w:eastAsia="zh-CN"/>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14:paraId="11CF92D7">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15.5 保修期内，如乙方未按本合同约定提供保修服务，由甲方有权追究乙方违约责任，乙方应按合同总价款的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2</w:t>
      </w:r>
      <w:r>
        <w:rPr>
          <w:rFonts w:hint="eastAsia" w:ascii="宋体" w:hAnsi="宋体" w:eastAsia="宋体" w:cs="宋体"/>
          <w:sz w:val="24"/>
          <w:szCs w:val="24"/>
          <w:u w:val="single"/>
          <w:shd w:val="clear" w:color="auto" w:fill="FFFFFF"/>
          <w:lang w:val="en-US" w:eastAsia="zh-CN"/>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14:paraId="0A2503AC">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15.6 如乙方出现除上述13.2-13.5条以外的其他违约行为或违反保证与承诺义务，应按合同总价款的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2</w:t>
      </w:r>
      <w:r>
        <w:rPr>
          <w:rFonts w:hint="eastAsia" w:ascii="宋体" w:hAnsi="宋体" w:eastAsia="宋体" w:cs="宋体"/>
          <w:sz w:val="24"/>
          <w:szCs w:val="24"/>
          <w:u w:val="single"/>
          <w:shd w:val="clear" w:color="auto" w:fill="FFFFFF"/>
          <w:lang w:val="en-US" w:eastAsia="zh-CN"/>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向甲方支付违约金并赔偿甲方因此而遭受的一切损失。</w:t>
      </w:r>
    </w:p>
    <w:p w14:paraId="62194D45">
      <w:pPr>
        <w:tabs>
          <w:tab w:val="left" w:pos="1155"/>
        </w:tabs>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15.7 甲方无正当理由拒收设备，应按合同总价款的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2</w:t>
      </w:r>
      <w:r>
        <w:rPr>
          <w:rFonts w:hint="eastAsia" w:ascii="宋体" w:hAnsi="宋体" w:eastAsia="宋体" w:cs="宋体"/>
          <w:sz w:val="24"/>
          <w:szCs w:val="24"/>
          <w:u w:val="single"/>
          <w:shd w:val="clear" w:color="auto" w:fill="FFFFFF"/>
          <w:lang w:val="en-US" w:eastAsia="zh-CN"/>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向乙方支付违约金以作为对乙方的赔偿。</w:t>
      </w:r>
    </w:p>
    <w:p w14:paraId="68D4B48C">
      <w:pPr>
        <w:tabs>
          <w:tab w:val="left" w:pos="1155"/>
        </w:tabs>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15.8 如甲方无正当理由延迟付款，则每延迟一天，甲方按应付而未付款项的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1</w:t>
      </w:r>
      <w:r>
        <w:rPr>
          <w:rFonts w:hint="eastAsia" w:ascii="宋体" w:hAnsi="宋体" w:eastAsia="宋体" w:cs="宋体"/>
          <w:sz w:val="24"/>
          <w:szCs w:val="24"/>
          <w:u w:val="single"/>
          <w:shd w:val="clear" w:color="auto" w:fill="FFFFFF"/>
          <w:lang w:val="en-US" w:eastAsia="zh-CN"/>
        </w:rPr>
        <w:t>‰</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向乙方支付逾期的违约金，但逾期付款违约金最多不超过甲方应付而未付金额的</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u w:val="single"/>
          <w:shd w:val="clear" w:color="auto" w:fill="FFFFFF"/>
          <w:lang w:val="en-US" w:eastAsia="zh-CN"/>
        </w:rPr>
        <w:t>10%</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，本合同继续履行。</w:t>
      </w:r>
    </w:p>
    <w:p w14:paraId="07F60A63">
      <w:pPr>
        <w:overflowPunct w:val="0"/>
        <w:adjustRightInd w:val="0"/>
        <w:snapToGrid w:val="0"/>
        <w:spacing w:line="46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15.9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73C537AE">
      <w:pPr>
        <w:overflowPunct w:val="0"/>
        <w:adjustRightInd w:val="0"/>
        <w:snapToGrid w:val="0"/>
        <w:spacing w:line="460" w:lineRule="exact"/>
        <w:ind w:firstLine="482"/>
        <w:rPr>
          <w:rFonts w:hint="eastAsia" w:ascii="宋体" w:hAnsi="宋体" w:eastAsia="宋体" w:cs="宋体"/>
          <w:b/>
          <w:bCs/>
          <w:sz w:val="24"/>
          <w:szCs w:val="24"/>
        </w:rPr>
      </w:pPr>
      <w:bookmarkStart w:id="30" w:name="_Toc14590"/>
      <w:bookmarkStart w:id="31" w:name="_Toc18421"/>
      <w:r>
        <w:rPr>
          <w:rFonts w:hint="eastAsia" w:ascii="宋体" w:hAnsi="宋体" w:eastAsia="宋体" w:cs="宋体"/>
          <w:b/>
          <w:bCs/>
          <w:sz w:val="24"/>
          <w:szCs w:val="24"/>
        </w:rPr>
        <w:t>16.保密条款</w:t>
      </w:r>
      <w:bookmarkEnd w:id="30"/>
      <w:bookmarkEnd w:id="31"/>
    </w:p>
    <w:p w14:paraId="6C3A6F6E">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74D91B3A">
      <w:pPr>
        <w:overflowPunct w:val="0"/>
        <w:adjustRightInd w:val="0"/>
        <w:snapToGrid w:val="0"/>
        <w:spacing w:line="460" w:lineRule="exact"/>
        <w:ind w:firstLine="482"/>
        <w:rPr>
          <w:rFonts w:hint="eastAsia" w:ascii="宋体" w:hAnsi="宋体" w:eastAsia="宋体" w:cs="宋体"/>
          <w:b/>
          <w:bCs/>
          <w:sz w:val="24"/>
          <w:szCs w:val="24"/>
        </w:rPr>
      </w:pPr>
      <w:bookmarkStart w:id="32" w:name="_Toc18460"/>
      <w:bookmarkStart w:id="33" w:name="_Toc24354"/>
      <w:r>
        <w:rPr>
          <w:rFonts w:hint="eastAsia" w:ascii="宋体" w:hAnsi="宋体" w:eastAsia="宋体" w:cs="宋体"/>
          <w:b/>
          <w:bCs/>
          <w:sz w:val="24"/>
          <w:szCs w:val="24"/>
        </w:rPr>
        <w:t>17.合同</w:t>
      </w:r>
      <w:bookmarkEnd w:id="32"/>
      <w:bookmarkEnd w:id="33"/>
      <w:r>
        <w:rPr>
          <w:rFonts w:hint="eastAsia" w:ascii="宋体" w:hAnsi="宋体" w:eastAsia="宋体" w:cs="宋体"/>
          <w:b/>
          <w:bCs/>
          <w:sz w:val="24"/>
          <w:szCs w:val="24"/>
        </w:rPr>
        <w:t>履行</w:t>
      </w:r>
    </w:p>
    <w:p w14:paraId="5656AB44">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除《中华人民共和国政府采购法》第49条、第50条第二款规定的情形外，本合同一经签订，甲乙双方不得擅自变更、中止或终止合同。</w:t>
      </w:r>
    </w:p>
    <w:p w14:paraId="70C8B30D">
      <w:pPr>
        <w:overflowPunct w:val="0"/>
        <w:adjustRightInd w:val="0"/>
        <w:snapToGrid w:val="0"/>
        <w:spacing w:line="460" w:lineRule="exact"/>
        <w:ind w:firstLine="482"/>
        <w:rPr>
          <w:rFonts w:hint="eastAsia" w:ascii="宋体" w:hAnsi="宋体" w:eastAsia="宋体" w:cs="宋体"/>
          <w:b/>
          <w:bCs/>
          <w:sz w:val="24"/>
          <w:szCs w:val="24"/>
        </w:rPr>
      </w:pPr>
      <w:bookmarkStart w:id="34" w:name="_Toc2019"/>
      <w:bookmarkStart w:id="35" w:name="_Toc23231"/>
      <w:r>
        <w:rPr>
          <w:rFonts w:hint="eastAsia" w:ascii="宋体" w:hAnsi="宋体" w:eastAsia="宋体" w:cs="宋体"/>
          <w:b/>
          <w:bCs/>
          <w:sz w:val="24"/>
          <w:szCs w:val="24"/>
        </w:rPr>
        <w:t>18.合同争议解决的方式</w:t>
      </w:r>
      <w:bookmarkEnd w:id="34"/>
      <w:bookmarkEnd w:id="35"/>
    </w:p>
    <w:p w14:paraId="25FA4C3A">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18.1 因货物的质量问题发生争议，由质量技术监督部门或其指定的质量鉴定机构进行质量鉴定。货物符合标准的，鉴定费由甲方承担；货物不符合质量标准的，鉴定费由乙方承担。</w:t>
      </w:r>
    </w:p>
    <w:p w14:paraId="7A7214F6">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18.2 因履行本合同引起的或与本合同有关的争议，甲、乙双方应首先通过友好协商解决，如果协商不成，则采取以下第</w:t>
      </w:r>
      <w:r>
        <w:rPr>
          <w:rFonts w:hint="eastAsia" w:ascii="宋体" w:hAnsi="宋体" w:eastAsia="宋体" w:cs="宋体"/>
          <w:szCs w:val="24"/>
          <w:u w:val="single"/>
        </w:rPr>
        <w:t xml:space="preserve"> </w:t>
      </w:r>
      <w:r>
        <w:rPr>
          <w:rFonts w:hint="eastAsia" w:ascii="宋体" w:hAnsi="宋体" w:eastAsia="宋体" w:cs="宋体"/>
          <w:szCs w:val="24"/>
          <w:u w:val="single"/>
          <w:lang w:val="en-US" w:eastAsia="zh-CN"/>
        </w:rPr>
        <w:t>2</w:t>
      </w:r>
      <w:r>
        <w:rPr>
          <w:rFonts w:hint="eastAsia" w:ascii="宋体" w:hAnsi="宋体" w:eastAsia="宋体" w:cs="宋体"/>
          <w:szCs w:val="24"/>
          <w:u w:val="single"/>
        </w:rPr>
        <w:t xml:space="preserve"> </w:t>
      </w:r>
      <w:r>
        <w:rPr>
          <w:rFonts w:hint="eastAsia" w:ascii="宋体" w:hAnsi="宋体" w:eastAsia="宋体" w:cs="宋体"/>
          <w:szCs w:val="24"/>
        </w:rPr>
        <w:t>种方式解决争议：</w:t>
      </w:r>
    </w:p>
    <w:p w14:paraId="6428F241">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18.2.1 向甲方所在地有管辖权的人民法院提起诉讼；</w:t>
      </w:r>
    </w:p>
    <w:p w14:paraId="06D75173">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18.2.2 向</w:t>
      </w:r>
      <w:r>
        <w:rPr>
          <w:rFonts w:hint="eastAsia" w:ascii="宋体" w:hAnsi="宋体" w:eastAsia="宋体" w:cs="宋体"/>
          <w:szCs w:val="24"/>
          <w:lang w:eastAsia="zh-CN"/>
        </w:rPr>
        <w:t>汉中市</w:t>
      </w:r>
      <w:r>
        <w:rPr>
          <w:rFonts w:hint="eastAsia" w:ascii="宋体" w:hAnsi="宋体" w:eastAsia="宋体" w:cs="宋体"/>
          <w:szCs w:val="24"/>
        </w:rPr>
        <w:t>仲裁委员会按其仲裁规则申请仲裁。</w:t>
      </w:r>
    </w:p>
    <w:p w14:paraId="0BC1499E">
      <w:pPr>
        <w:pStyle w:val="14"/>
        <w:widowControl w:val="0"/>
        <w:overflowPunct w:val="0"/>
        <w:adjustRightInd w:val="0"/>
        <w:snapToGrid w:val="0"/>
        <w:spacing w:line="460" w:lineRule="exact"/>
        <w:ind w:firstLine="480"/>
        <w:rPr>
          <w:rFonts w:hint="eastAsia" w:ascii="宋体" w:hAnsi="宋体" w:eastAsia="宋体" w:cs="宋体"/>
          <w:szCs w:val="24"/>
        </w:rPr>
      </w:pPr>
      <w:r>
        <w:rPr>
          <w:rFonts w:hint="eastAsia" w:ascii="宋体" w:hAnsi="宋体" w:eastAsia="宋体" w:cs="宋体"/>
          <w:szCs w:val="24"/>
        </w:rPr>
        <w:t>18.3 仲裁期间，本合同应继续履行。</w:t>
      </w:r>
    </w:p>
    <w:p w14:paraId="24184035">
      <w:pPr>
        <w:overflowPunct w:val="0"/>
        <w:adjustRightInd w:val="0"/>
        <w:snapToGrid w:val="0"/>
        <w:spacing w:line="460" w:lineRule="exact"/>
        <w:ind w:firstLine="482"/>
        <w:rPr>
          <w:rFonts w:hint="eastAsia" w:ascii="宋体" w:hAnsi="宋体" w:eastAsia="宋体" w:cs="宋体"/>
          <w:b/>
          <w:bCs/>
          <w:sz w:val="24"/>
          <w:szCs w:val="24"/>
        </w:rPr>
      </w:pPr>
      <w:bookmarkStart w:id="36" w:name="_Toc3946"/>
      <w:bookmarkStart w:id="37" w:name="_Toc23719"/>
      <w:r>
        <w:rPr>
          <w:rFonts w:hint="eastAsia" w:ascii="宋体" w:hAnsi="宋体" w:eastAsia="宋体" w:cs="宋体"/>
          <w:b/>
          <w:bCs/>
          <w:sz w:val="24"/>
          <w:szCs w:val="24"/>
        </w:rPr>
        <w:t>19.合同文件</w:t>
      </w:r>
      <w:bookmarkEnd w:id="36"/>
      <w:bookmarkEnd w:id="37"/>
    </w:p>
    <w:p w14:paraId="622F9FA0">
      <w:pPr>
        <w:overflowPunct w:val="0"/>
        <w:adjustRightInd w:val="0"/>
        <w:snapToGrid w:val="0"/>
        <w:spacing w:line="4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详细技术说明及其他有关合同项目的特定信息由合同附件予以说明，下列文件构成本合同的组成部分，应该认为是一个整体，彼此相互解释，相互补充。组成合同的多个文件的优先支配地位的次序如下：</w:t>
      </w:r>
    </w:p>
    <w:p w14:paraId="5CAF74B4">
      <w:pPr>
        <w:overflowPunct w:val="0"/>
        <w:adjustRightInd w:val="0"/>
        <w:snapToGrid w:val="0"/>
        <w:spacing w:line="4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19.1 本合同书</w:t>
      </w:r>
    </w:p>
    <w:p w14:paraId="3BA0AFAC">
      <w:pPr>
        <w:overflowPunct w:val="0"/>
        <w:adjustRightInd w:val="0"/>
        <w:snapToGrid w:val="0"/>
        <w:spacing w:line="4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19.2 中标通知书</w:t>
      </w:r>
      <w:r>
        <w:rPr>
          <w:rFonts w:hint="eastAsia" w:ascii="宋体" w:hAnsi="宋体" w:eastAsia="宋体" w:cs="宋体"/>
          <w:sz w:val="24"/>
          <w:szCs w:val="24"/>
        </w:rPr>
        <w:tab/>
      </w:r>
    </w:p>
    <w:p w14:paraId="6FCEDE20">
      <w:pPr>
        <w:overflowPunct w:val="0"/>
        <w:adjustRightInd w:val="0"/>
        <w:snapToGrid w:val="0"/>
        <w:spacing w:line="4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19.3 协议</w:t>
      </w:r>
    </w:p>
    <w:p w14:paraId="6FB640B2">
      <w:pPr>
        <w:overflowPunct w:val="0"/>
        <w:adjustRightInd w:val="0"/>
        <w:snapToGrid w:val="0"/>
        <w:spacing w:line="4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19.4 招标文件(含澄清或者修改文件)</w:t>
      </w:r>
    </w:p>
    <w:p w14:paraId="10C239A7">
      <w:pPr>
        <w:overflowPunct w:val="0"/>
        <w:adjustRightInd w:val="0"/>
        <w:snapToGrid w:val="0"/>
        <w:spacing w:line="4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19.5 投标文件</w:t>
      </w:r>
    </w:p>
    <w:p w14:paraId="11912B55">
      <w:pPr>
        <w:overflowPunct w:val="0"/>
        <w:adjustRightInd w:val="0"/>
        <w:snapToGrid w:val="0"/>
        <w:spacing w:line="460" w:lineRule="exact"/>
        <w:ind w:firstLine="482"/>
        <w:rPr>
          <w:rFonts w:hint="eastAsia" w:ascii="宋体" w:hAnsi="宋体" w:eastAsia="宋体" w:cs="宋体"/>
          <w:b/>
          <w:bCs/>
          <w:sz w:val="24"/>
          <w:szCs w:val="24"/>
        </w:rPr>
      </w:pPr>
      <w:bookmarkStart w:id="38" w:name="_Toc21719"/>
      <w:bookmarkStart w:id="39" w:name="_Toc16981"/>
      <w:r>
        <w:rPr>
          <w:rFonts w:hint="eastAsia" w:ascii="宋体" w:hAnsi="宋体" w:eastAsia="宋体" w:cs="宋体"/>
          <w:b/>
          <w:bCs/>
          <w:sz w:val="24"/>
          <w:szCs w:val="24"/>
        </w:rPr>
        <w:t>20.其他事项</w:t>
      </w:r>
      <w:bookmarkEnd w:id="38"/>
      <w:bookmarkEnd w:id="39"/>
    </w:p>
    <w:p w14:paraId="1EE2D086">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20.1 陕西省财政厅在合同的履行期间以及履行期后，可以随时检查项目的执行情况，对采购标准、采购内容进行调查核实，并对发现的问题进行处理。</w:t>
      </w:r>
    </w:p>
    <w:p w14:paraId="73D728BC">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20.2乙方应根据公开招标文件要求向采购代理机构交纳代理服务费并取得甲方的签章后，合同才正式生效。</w:t>
      </w:r>
    </w:p>
    <w:p w14:paraId="50BA52E9">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20.3 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份，甲方</w:t>
      </w:r>
      <w:r>
        <w:rPr>
          <w:rFonts w:hint="eastAsia" w:ascii="宋体" w:hAnsi="宋体" w:eastAsia="宋体" w:cs="宋体"/>
          <w:sz w:val="24"/>
          <w:szCs w:val="24"/>
          <w:u w:val="single"/>
        </w:rPr>
        <w:t xml:space="preserve">   </w:t>
      </w:r>
      <w:r>
        <w:rPr>
          <w:rFonts w:hint="eastAsia" w:ascii="宋体" w:hAnsi="宋体" w:eastAsia="宋体" w:cs="宋体"/>
          <w:sz w:val="24"/>
          <w:szCs w:val="24"/>
        </w:rPr>
        <w:t>份，乙方</w:t>
      </w:r>
      <w:r>
        <w:rPr>
          <w:rFonts w:hint="eastAsia" w:ascii="宋体" w:hAnsi="宋体" w:eastAsia="宋体" w:cs="宋体"/>
          <w:sz w:val="24"/>
          <w:szCs w:val="24"/>
          <w:u w:val="single"/>
        </w:rPr>
        <w:t xml:space="preserve">   </w:t>
      </w:r>
      <w:r>
        <w:rPr>
          <w:rFonts w:hint="eastAsia" w:ascii="宋体" w:hAnsi="宋体" w:eastAsia="宋体" w:cs="宋体"/>
          <w:sz w:val="24"/>
          <w:szCs w:val="24"/>
        </w:rPr>
        <w:t>份，采购代理机构</w:t>
      </w:r>
      <w:r>
        <w:rPr>
          <w:rFonts w:hint="eastAsia" w:ascii="宋体" w:hAnsi="宋体" w:eastAsia="宋体" w:cs="宋体"/>
          <w:sz w:val="24"/>
          <w:szCs w:val="24"/>
          <w:u w:val="single"/>
        </w:rPr>
        <w:t xml:space="preserve"> 壹 </w:t>
      </w:r>
      <w:r>
        <w:rPr>
          <w:rFonts w:hint="eastAsia" w:ascii="宋体" w:hAnsi="宋体" w:eastAsia="宋体" w:cs="宋体"/>
          <w:sz w:val="24"/>
          <w:szCs w:val="24"/>
        </w:rPr>
        <w:t>份。。</w:t>
      </w:r>
    </w:p>
    <w:p w14:paraId="5482A99E">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20.4 本合同未尽事项，补充合同内容。</w:t>
      </w:r>
    </w:p>
    <w:p w14:paraId="162B8CB1">
      <w:pPr>
        <w:overflowPunct w:val="0"/>
        <w:adjustRightInd w:val="0"/>
        <w:snapToGrid w:val="0"/>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（以下无正文）</w:t>
      </w:r>
    </w:p>
    <w:tbl>
      <w:tblPr>
        <w:tblStyle w:val="12"/>
        <w:tblpPr w:leftFromText="180" w:rightFromText="180" w:vertAnchor="text" w:horzAnchor="page" w:tblpX="1144" w:tblpY="305"/>
        <w:tblW w:w="4999" w:type="pct"/>
        <w:tblInd w:w="0" w:type="dxa"/>
        <w:tblLayout w:type="autofit"/>
        <w:tblCellMar>
          <w:top w:w="0" w:type="dxa"/>
          <w:left w:w="108" w:type="dxa"/>
          <w:bottom w:w="0" w:type="dxa"/>
          <w:right w:w="108" w:type="dxa"/>
        </w:tblCellMar>
      </w:tblPr>
      <w:tblGrid>
        <w:gridCol w:w="4259"/>
        <w:gridCol w:w="4261"/>
      </w:tblGrid>
      <w:tr w14:paraId="73CA08C2">
        <w:tblPrEx>
          <w:tblCellMar>
            <w:top w:w="0" w:type="dxa"/>
            <w:left w:w="108" w:type="dxa"/>
            <w:bottom w:w="0" w:type="dxa"/>
            <w:right w:w="108" w:type="dxa"/>
          </w:tblCellMar>
        </w:tblPrEx>
        <w:trPr>
          <w:trHeight w:val="437" w:hRule="atLeast"/>
        </w:trPr>
        <w:tc>
          <w:tcPr>
            <w:tcW w:w="2499" w:type="pct"/>
            <w:vAlign w:val="center"/>
          </w:tcPr>
          <w:p w14:paraId="167DC41E">
            <w:pPr>
              <w:overflowPunct w:val="0"/>
              <w:adjustRightInd w:val="0"/>
              <w:snapToGrid w:val="0"/>
              <w:rPr>
                <w:rFonts w:hint="eastAsia" w:ascii="宋体" w:hAnsi="宋体" w:eastAsia="宋体" w:cs="宋体"/>
                <w:w w:val="95"/>
                <w:sz w:val="24"/>
                <w:szCs w:val="24"/>
              </w:rPr>
            </w:pPr>
            <w:r>
              <w:rPr>
                <w:rFonts w:hint="eastAsia" w:ascii="宋体" w:hAnsi="宋体" w:eastAsia="宋体" w:cs="宋体"/>
                <w:w w:val="95"/>
                <w:sz w:val="24"/>
                <w:szCs w:val="24"/>
              </w:rPr>
              <w:t>甲方:</w:t>
            </w:r>
            <w:r>
              <w:rPr>
                <w:rFonts w:hint="eastAsia" w:ascii="宋体" w:hAnsi="宋体" w:eastAsia="宋体" w:cs="宋体"/>
                <w:sz w:val="24"/>
                <w:szCs w:val="24"/>
              </w:rPr>
              <w:t xml:space="preserve">                  （盖章）</w:t>
            </w:r>
          </w:p>
        </w:tc>
        <w:tc>
          <w:tcPr>
            <w:tcW w:w="2500" w:type="pct"/>
            <w:vAlign w:val="center"/>
          </w:tcPr>
          <w:p w14:paraId="7EC6F210">
            <w:pPr>
              <w:overflowPunct w:val="0"/>
              <w:adjustRightInd w:val="0"/>
              <w:snapToGrid w:val="0"/>
              <w:rPr>
                <w:rFonts w:hint="eastAsia" w:ascii="宋体" w:hAnsi="宋体" w:eastAsia="宋体" w:cs="宋体"/>
                <w:w w:val="95"/>
                <w:sz w:val="24"/>
                <w:szCs w:val="24"/>
              </w:rPr>
            </w:pPr>
            <w:r>
              <w:rPr>
                <w:rFonts w:hint="eastAsia" w:ascii="宋体" w:hAnsi="宋体" w:eastAsia="宋体" w:cs="宋体"/>
                <w:w w:val="95"/>
                <w:sz w:val="24"/>
                <w:szCs w:val="24"/>
              </w:rPr>
              <w:t xml:space="preserve">乙方:                    </w:t>
            </w:r>
            <w:r>
              <w:rPr>
                <w:rFonts w:hint="eastAsia" w:ascii="宋体" w:hAnsi="宋体" w:eastAsia="宋体" w:cs="宋体"/>
                <w:sz w:val="24"/>
                <w:szCs w:val="24"/>
              </w:rPr>
              <w:t>（盖章）</w:t>
            </w:r>
          </w:p>
        </w:tc>
      </w:tr>
      <w:tr w14:paraId="745E98BB">
        <w:tblPrEx>
          <w:tblCellMar>
            <w:top w:w="0" w:type="dxa"/>
            <w:left w:w="108" w:type="dxa"/>
            <w:bottom w:w="0" w:type="dxa"/>
            <w:right w:w="108" w:type="dxa"/>
          </w:tblCellMar>
        </w:tblPrEx>
        <w:trPr>
          <w:trHeight w:val="437" w:hRule="atLeast"/>
        </w:trPr>
        <w:tc>
          <w:tcPr>
            <w:tcW w:w="2499" w:type="pct"/>
            <w:vAlign w:val="center"/>
          </w:tcPr>
          <w:p w14:paraId="4B494A90">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2500" w:type="pct"/>
            <w:vAlign w:val="center"/>
          </w:tcPr>
          <w:p w14:paraId="11A46C4B">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地址：</w:t>
            </w:r>
          </w:p>
        </w:tc>
      </w:tr>
      <w:tr w14:paraId="0E95971F">
        <w:tblPrEx>
          <w:tblCellMar>
            <w:top w:w="0" w:type="dxa"/>
            <w:left w:w="108" w:type="dxa"/>
            <w:bottom w:w="0" w:type="dxa"/>
            <w:right w:w="108" w:type="dxa"/>
          </w:tblCellMar>
        </w:tblPrEx>
        <w:trPr>
          <w:trHeight w:val="437" w:hRule="atLeast"/>
        </w:trPr>
        <w:tc>
          <w:tcPr>
            <w:tcW w:w="2499" w:type="pct"/>
            <w:vAlign w:val="center"/>
          </w:tcPr>
          <w:p w14:paraId="1BFAEDE7">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邮编：</w:t>
            </w:r>
          </w:p>
        </w:tc>
        <w:tc>
          <w:tcPr>
            <w:tcW w:w="2500" w:type="pct"/>
            <w:vAlign w:val="center"/>
          </w:tcPr>
          <w:p w14:paraId="2C6CFB3E">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邮编：</w:t>
            </w:r>
          </w:p>
        </w:tc>
      </w:tr>
      <w:tr w14:paraId="1008750B">
        <w:tblPrEx>
          <w:tblCellMar>
            <w:top w:w="0" w:type="dxa"/>
            <w:left w:w="108" w:type="dxa"/>
            <w:bottom w:w="0" w:type="dxa"/>
            <w:right w:w="108" w:type="dxa"/>
          </w:tblCellMar>
        </w:tblPrEx>
        <w:trPr>
          <w:trHeight w:val="1095" w:hRule="atLeast"/>
        </w:trPr>
        <w:tc>
          <w:tcPr>
            <w:tcW w:w="2499" w:type="pct"/>
          </w:tcPr>
          <w:p w14:paraId="67AB99D8">
            <w:pPr>
              <w:overflowPunct w:val="0"/>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法定代表人（签字或盖章）：</w:t>
            </w:r>
          </w:p>
          <w:p w14:paraId="62334057">
            <w:pPr>
              <w:overflowPunct w:val="0"/>
              <w:adjustRightInd w:val="0"/>
              <w:snapToGrid w:val="0"/>
              <w:rPr>
                <w:rFonts w:hint="eastAsia" w:ascii="宋体" w:hAnsi="宋体" w:eastAsia="宋体" w:cs="宋体"/>
                <w:sz w:val="24"/>
                <w:szCs w:val="24"/>
              </w:rPr>
            </w:pPr>
          </w:p>
        </w:tc>
        <w:tc>
          <w:tcPr>
            <w:tcW w:w="2500" w:type="pct"/>
          </w:tcPr>
          <w:p w14:paraId="41F02A16">
            <w:pPr>
              <w:overflowPunct w:val="0"/>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法定代表人（签字或盖章）：</w:t>
            </w:r>
          </w:p>
        </w:tc>
      </w:tr>
      <w:tr w14:paraId="2C003B51">
        <w:tblPrEx>
          <w:tblCellMar>
            <w:top w:w="0" w:type="dxa"/>
            <w:left w:w="108" w:type="dxa"/>
            <w:bottom w:w="0" w:type="dxa"/>
            <w:right w:w="108" w:type="dxa"/>
          </w:tblCellMar>
        </w:tblPrEx>
        <w:trPr>
          <w:trHeight w:val="657" w:hRule="atLeast"/>
        </w:trPr>
        <w:tc>
          <w:tcPr>
            <w:tcW w:w="2499" w:type="pct"/>
          </w:tcPr>
          <w:p w14:paraId="2975AC39">
            <w:pPr>
              <w:overflowPunct w:val="0"/>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被授权代表：（签字）</w:t>
            </w:r>
          </w:p>
        </w:tc>
        <w:tc>
          <w:tcPr>
            <w:tcW w:w="2500" w:type="pct"/>
          </w:tcPr>
          <w:p w14:paraId="60BCEA51">
            <w:pPr>
              <w:overflowPunct w:val="0"/>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被授权代表：（签字）</w:t>
            </w:r>
          </w:p>
        </w:tc>
      </w:tr>
      <w:tr w14:paraId="1A38A94C">
        <w:tblPrEx>
          <w:tblCellMar>
            <w:top w:w="0" w:type="dxa"/>
            <w:left w:w="108" w:type="dxa"/>
            <w:bottom w:w="0" w:type="dxa"/>
            <w:right w:w="108" w:type="dxa"/>
          </w:tblCellMar>
        </w:tblPrEx>
        <w:trPr>
          <w:trHeight w:val="437" w:hRule="atLeast"/>
        </w:trPr>
        <w:tc>
          <w:tcPr>
            <w:tcW w:w="2499" w:type="pct"/>
            <w:vAlign w:val="center"/>
          </w:tcPr>
          <w:p w14:paraId="74F3B2E8">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电话：</w:t>
            </w:r>
          </w:p>
        </w:tc>
        <w:tc>
          <w:tcPr>
            <w:tcW w:w="2500" w:type="pct"/>
            <w:vAlign w:val="center"/>
          </w:tcPr>
          <w:p w14:paraId="279F845B">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电话：</w:t>
            </w:r>
          </w:p>
        </w:tc>
      </w:tr>
      <w:tr w14:paraId="59E1A9CD">
        <w:tblPrEx>
          <w:tblCellMar>
            <w:top w:w="0" w:type="dxa"/>
            <w:left w:w="108" w:type="dxa"/>
            <w:bottom w:w="0" w:type="dxa"/>
            <w:right w:w="108" w:type="dxa"/>
          </w:tblCellMar>
        </w:tblPrEx>
        <w:trPr>
          <w:trHeight w:val="437" w:hRule="atLeast"/>
        </w:trPr>
        <w:tc>
          <w:tcPr>
            <w:tcW w:w="2499" w:type="pct"/>
            <w:vAlign w:val="center"/>
          </w:tcPr>
          <w:p w14:paraId="620EA113">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传真：</w:t>
            </w:r>
          </w:p>
        </w:tc>
        <w:tc>
          <w:tcPr>
            <w:tcW w:w="2500" w:type="pct"/>
            <w:vAlign w:val="center"/>
          </w:tcPr>
          <w:p w14:paraId="51E26D2A">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传真：</w:t>
            </w:r>
          </w:p>
        </w:tc>
      </w:tr>
      <w:tr w14:paraId="6544DD8D">
        <w:tblPrEx>
          <w:tblCellMar>
            <w:top w:w="0" w:type="dxa"/>
            <w:left w:w="108" w:type="dxa"/>
            <w:bottom w:w="0" w:type="dxa"/>
            <w:right w:w="108" w:type="dxa"/>
          </w:tblCellMar>
        </w:tblPrEx>
        <w:trPr>
          <w:trHeight w:val="437" w:hRule="atLeast"/>
        </w:trPr>
        <w:tc>
          <w:tcPr>
            <w:tcW w:w="2499" w:type="pct"/>
            <w:vAlign w:val="center"/>
          </w:tcPr>
          <w:p w14:paraId="65642A2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开户银行：</w:t>
            </w:r>
          </w:p>
        </w:tc>
        <w:tc>
          <w:tcPr>
            <w:tcW w:w="2500" w:type="pct"/>
            <w:vAlign w:val="center"/>
          </w:tcPr>
          <w:p w14:paraId="2E39AB85">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开户银行：</w:t>
            </w:r>
          </w:p>
        </w:tc>
      </w:tr>
      <w:tr w14:paraId="2CDB2885">
        <w:tblPrEx>
          <w:tblCellMar>
            <w:top w:w="0" w:type="dxa"/>
            <w:left w:w="108" w:type="dxa"/>
            <w:bottom w:w="0" w:type="dxa"/>
            <w:right w:w="108" w:type="dxa"/>
          </w:tblCellMar>
        </w:tblPrEx>
        <w:trPr>
          <w:trHeight w:val="437" w:hRule="atLeast"/>
        </w:trPr>
        <w:tc>
          <w:tcPr>
            <w:tcW w:w="2499" w:type="pct"/>
            <w:vAlign w:val="center"/>
          </w:tcPr>
          <w:p w14:paraId="0ACFFBD7">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账号:</w:t>
            </w:r>
          </w:p>
        </w:tc>
        <w:tc>
          <w:tcPr>
            <w:tcW w:w="2500" w:type="pct"/>
            <w:vAlign w:val="center"/>
          </w:tcPr>
          <w:p w14:paraId="35AE52CF">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账号:</w:t>
            </w:r>
          </w:p>
        </w:tc>
      </w:tr>
      <w:tr w14:paraId="54DB9010">
        <w:tblPrEx>
          <w:tblCellMar>
            <w:top w:w="0" w:type="dxa"/>
            <w:left w:w="108" w:type="dxa"/>
            <w:bottom w:w="0" w:type="dxa"/>
            <w:right w:w="108" w:type="dxa"/>
          </w:tblCellMar>
        </w:tblPrEx>
        <w:trPr>
          <w:trHeight w:val="437" w:hRule="atLeast"/>
        </w:trPr>
        <w:tc>
          <w:tcPr>
            <w:tcW w:w="2499" w:type="pct"/>
            <w:vAlign w:val="center"/>
          </w:tcPr>
          <w:p w14:paraId="58E80C08">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日期：       年   月   日</w:t>
            </w:r>
          </w:p>
        </w:tc>
        <w:tc>
          <w:tcPr>
            <w:tcW w:w="2500" w:type="pct"/>
            <w:vAlign w:val="center"/>
          </w:tcPr>
          <w:p w14:paraId="0DCCB5EC">
            <w:pPr>
              <w:overflowPunct w:val="0"/>
              <w:adjustRightInd w:val="0"/>
              <w:snapToGrid w:val="0"/>
              <w:rPr>
                <w:rFonts w:hint="eastAsia" w:ascii="宋体" w:hAnsi="宋体" w:eastAsia="宋体" w:cs="宋体"/>
                <w:sz w:val="24"/>
                <w:szCs w:val="24"/>
              </w:rPr>
            </w:pPr>
            <w:r>
              <w:rPr>
                <w:rFonts w:hint="eastAsia" w:ascii="宋体" w:hAnsi="宋体" w:eastAsia="宋体" w:cs="宋体"/>
                <w:sz w:val="24"/>
                <w:szCs w:val="24"/>
              </w:rPr>
              <w:t>日期：      年   月   日</w:t>
            </w:r>
          </w:p>
        </w:tc>
      </w:tr>
    </w:tbl>
    <w:p w14:paraId="1599B579">
      <w:pPr>
        <w:overflowPunct w:val="0"/>
        <w:adjustRightInd w:val="0"/>
        <w:snapToGrid w:val="0"/>
        <w:rPr>
          <w:rFonts w:hint="eastAsia" w:ascii="宋体" w:hAnsi="宋体" w:eastAsia="宋体" w:cs="宋体"/>
          <w:sz w:val="24"/>
          <w:szCs w:val="24"/>
        </w:rPr>
      </w:pPr>
    </w:p>
    <w:p w14:paraId="6835FFE2">
      <w:pPr>
        <w:overflowPunct w:val="0"/>
        <w:adjustRightInd w:val="0"/>
        <w:snapToGrid w:val="0"/>
        <w:rPr>
          <w:rFonts w:hint="eastAsia" w:ascii="宋体" w:hAnsi="宋体" w:eastAsia="宋体" w:cs="宋体"/>
          <w:sz w:val="24"/>
          <w:szCs w:val="24"/>
          <w:lang w:val="zh-CN"/>
        </w:rPr>
      </w:pPr>
    </w:p>
    <w:p w14:paraId="0E5E9962">
      <w:pPr>
        <w:pStyle w:val="5"/>
        <w:overflowPunct w:val="0"/>
        <w:adjustRightInd w:val="0"/>
        <w:snapToGrid w:val="0"/>
        <w:rPr>
          <w:rFonts w:hint="eastAsia" w:ascii="宋体" w:hAnsi="宋体" w:eastAsia="宋体" w:cs="宋体"/>
          <w:sz w:val="24"/>
          <w:szCs w:val="24"/>
          <w:lang w:val="zh-CN"/>
        </w:rPr>
      </w:pPr>
    </w:p>
    <w:p w14:paraId="0AB75FBC">
      <w:pPr>
        <w:overflowPunct w:val="0"/>
        <w:adjustRightInd w:val="0"/>
        <w:snapToGrid w:val="0"/>
        <w:rPr>
          <w:rFonts w:hint="eastAsia" w:ascii="宋体" w:hAnsi="宋体" w:eastAsia="宋体" w:cs="宋体"/>
          <w:sz w:val="24"/>
          <w:szCs w:val="24"/>
          <w:lang w:val="zh-CN"/>
        </w:rPr>
      </w:pPr>
    </w:p>
    <w:p w14:paraId="6105ED9D">
      <w:pPr>
        <w:pStyle w:val="5"/>
        <w:overflowPunct w:val="0"/>
        <w:adjustRightInd w:val="0"/>
        <w:snapToGrid w:val="0"/>
        <w:spacing w:line="360" w:lineRule="auto"/>
        <w:rPr>
          <w:rFonts w:hint="eastAsia" w:ascii="宋体" w:hAnsi="宋体" w:eastAsia="宋体" w:cs="宋体"/>
          <w:sz w:val="24"/>
          <w:szCs w:val="24"/>
          <w:lang w:val="zh-CN"/>
        </w:rPr>
      </w:pPr>
      <w:r>
        <w:rPr>
          <w:rFonts w:hint="eastAsia" w:ascii="宋体" w:hAnsi="宋体" w:eastAsia="宋体" w:cs="宋体"/>
          <w:sz w:val="24"/>
          <w:szCs w:val="24"/>
          <w:lang w:val="en-US" w:eastAsia="zh-CN"/>
        </w:rPr>
        <w:t>鉴证</w:t>
      </w:r>
      <w:r>
        <w:rPr>
          <w:rFonts w:hint="eastAsia" w:ascii="宋体" w:hAnsi="宋体" w:eastAsia="宋体" w:cs="宋体"/>
          <w:sz w:val="24"/>
          <w:szCs w:val="24"/>
          <w:lang w:val="zh-CN"/>
        </w:rPr>
        <w:t>方：衡正国际工程咨询有限公司（盖章）</w:t>
      </w:r>
    </w:p>
    <w:p w14:paraId="068A976F">
      <w:pPr>
        <w:rPr>
          <w:rFonts w:hint="eastAsia" w:ascii="宋体" w:hAnsi="宋体" w:eastAsia="宋体" w:cs="宋体"/>
        </w:rPr>
      </w:pPr>
      <w:r>
        <w:rPr>
          <w:rFonts w:hint="eastAsia" w:ascii="宋体" w:hAnsi="宋体" w:eastAsia="宋体" w:cs="宋体"/>
          <w:sz w:val="24"/>
          <w:szCs w:val="24"/>
          <w:lang w:val="zh-CN"/>
        </w:rPr>
        <w:t>日  期：</w:t>
      </w:r>
      <w:r>
        <w:rPr>
          <w:rFonts w:hint="eastAsia" w:ascii="宋体" w:hAnsi="宋体" w:eastAsia="宋体" w:cs="宋体"/>
          <w:sz w:val="24"/>
          <w:szCs w:val="24"/>
        </w:rPr>
        <w:t xml:space="preserve">       年   月   日</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FB02D">
    <w:pPr>
      <w:pStyle w:val="8"/>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91346">
    <w:pPr>
      <w:pStyle w:val="8"/>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3D3715">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213D3715">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NTI2ODMxYzljMjJhZjBhY2E5ZGE0ZWQzOGZkOWQifQ=="/>
  </w:docVars>
  <w:rsids>
    <w:rsidRoot w:val="05866FFF"/>
    <w:rsid w:val="05866FFF"/>
    <w:rsid w:val="0A920ABD"/>
    <w:rsid w:val="13EC581A"/>
    <w:rsid w:val="31D76A0D"/>
    <w:rsid w:val="48146951"/>
    <w:rsid w:val="56E12A0D"/>
    <w:rsid w:val="7F137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2">
    <w:name w:val="heading 2"/>
    <w:basedOn w:val="1"/>
    <w:next w:val="1"/>
    <w:qFormat/>
    <w:uiPriority w:val="0"/>
    <w:pPr>
      <w:keepNext/>
      <w:keepLines/>
      <w:spacing w:before="10" w:after="10" w:line="440" w:lineRule="exact"/>
      <w:ind w:firstLine="800" w:firstLineChars="200"/>
      <w:outlineLvl w:val="1"/>
    </w:pPr>
    <w:rPr>
      <w:rFonts w:ascii="Arial" w:hAnsi="Arial"/>
      <w:b/>
      <w:bCs/>
      <w:kern w:val="2"/>
      <w:sz w:val="24"/>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rPr>
      <w:kern w:val="2"/>
      <w:sz w:val="21"/>
      <w:szCs w:val="24"/>
    </w:rPr>
  </w:style>
  <w:style w:type="paragraph" w:styleId="4">
    <w:name w:val="toc 4"/>
    <w:basedOn w:val="1"/>
    <w:next w:val="1"/>
    <w:qFormat/>
    <w:uiPriority w:val="39"/>
    <w:pPr>
      <w:ind w:left="630"/>
      <w:jc w:val="left"/>
    </w:pPr>
    <w:rPr>
      <w:rFonts w:ascii="Calibri" w:hAnsi="Calibri" w:cs="Calibri"/>
      <w:kern w:val="2"/>
      <w:sz w:val="18"/>
      <w:szCs w:val="18"/>
    </w:rPr>
  </w:style>
  <w:style w:type="paragraph" w:styleId="5">
    <w:name w:val="Body Text"/>
    <w:basedOn w:val="1"/>
    <w:next w:val="1"/>
    <w:unhideWhenUsed/>
    <w:qFormat/>
    <w:uiPriority w:val="99"/>
    <w:pPr>
      <w:spacing w:after="120"/>
    </w:pPr>
  </w:style>
  <w:style w:type="paragraph" w:styleId="6">
    <w:name w:val="Body Text Indent"/>
    <w:basedOn w:val="1"/>
    <w:next w:val="7"/>
    <w:qFormat/>
    <w:uiPriority w:val="99"/>
    <w:pPr>
      <w:spacing w:after="120"/>
      <w:ind w:left="420" w:leftChars="200"/>
    </w:pPr>
    <w:rPr>
      <w:kern w:val="2"/>
      <w:sz w:val="21"/>
      <w:szCs w:val="24"/>
      <w:lang w:val="zh-CN"/>
    </w:rPr>
  </w:style>
  <w:style w:type="paragraph" w:customStyle="1" w:styleId="7">
    <w:name w:val="font5"/>
    <w:basedOn w:val="1"/>
    <w:qFormat/>
    <w:uiPriority w:val="0"/>
    <w:pPr>
      <w:widowControl/>
      <w:spacing w:beforeAutospacing="1" w:afterAutospacing="1"/>
      <w:jc w:val="left"/>
    </w:pPr>
    <w:rPr>
      <w:rFonts w:hint="eastAsia" w:ascii="宋体" w:hAnsi="宋体"/>
      <w:sz w:val="24"/>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1"/>
    <w:next w:val="1"/>
    <w:qFormat/>
    <w:uiPriority w:val="0"/>
    <w:pPr>
      <w:widowControl/>
      <w:spacing w:line="360" w:lineRule="auto"/>
      <w:ind w:firstLine="420"/>
      <w:jc w:val="left"/>
    </w:pPr>
    <w:rPr>
      <w:rFonts w:ascii="宋体" w:hAnsi="宋体"/>
      <w:kern w:val="2"/>
      <w:sz w:val="24"/>
    </w:rPr>
  </w:style>
  <w:style w:type="paragraph" w:styleId="11">
    <w:name w:val="Body Text First Indent 2"/>
    <w:basedOn w:val="6"/>
    <w:next w:val="10"/>
    <w:qFormat/>
    <w:uiPriority w:val="0"/>
    <w:pPr>
      <w:adjustRightInd w:val="0"/>
      <w:snapToGrid w:val="0"/>
    </w:pPr>
    <w:rPr>
      <w:szCs w:val="21"/>
    </w:rPr>
  </w:style>
  <w:style w:type="paragraph" w:customStyle="1" w:styleId="14">
    <w:name w:val="样式 首行缩进:  2 字符"/>
    <w:basedOn w:val="1"/>
    <w:qFormat/>
    <w:uiPriority w:val="0"/>
    <w:pPr>
      <w:widowControl/>
      <w:spacing w:line="400" w:lineRule="exact"/>
      <w:ind w:firstLine="200" w:firstLineChars="200"/>
    </w:pPr>
    <w:rPr>
      <w:rFonts w:ascii="宋体" w:cs="宋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8245</Words>
  <Characters>8620</Characters>
  <Lines>0</Lines>
  <Paragraphs>0</Paragraphs>
  <TotalTime>0</TotalTime>
  <ScaleCrop>false</ScaleCrop>
  <LinksUpToDate>false</LinksUpToDate>
  <CharactersWithSpaces>10391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2024-05-24T06:42:00Z</dcterms:created>
  <dc:creator>新昱</dc:creator>
  <cp:lastModifiedBy>Lh</cp:lastModifiedBy>
  <dcterms:modified xsi:type="dcterms:W3CDTF">2025-09-23T07:22:55Z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8D86CA9420544115BDCB7D5F7298AE07_11</vt:lpwstr>
  </property>
  <property fmtid="{D5CDD505-2E9C-101B-9397-08002B2CF9AE}" pid="4" name="KSOTemplateDocerSaveRecord">
    <vt:lpwstr>eyJoZGlkIjoiNTliYjJhNmMyYmZiYzg4MjZjOWYxMWE1Y2FkZTYwZjEiLCJ1c2VySWQiOiI0MDAxNzI4NTgifQ==</vt:lpwstr>
  </property>
</Properties>
</file>