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版本号：JXRZ-HC-2025-09620250925001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2025年度汉中市长江流域重点水域水生生物资源监测项目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JXRZ-HC-2025-096</w:t>
      </w:r>
      <w:r>
        <w:br/>
      </w:r>
      <w:r>
        <w:br/>
      </w:r>
      <w:r>
        <w:br/>
      </w:r>
    </w:p>
    <w:p>
      <w:pPr>
        <w:pStyle w:val="null3"/>
        <w:jc w:val="center"/>
        <w:outlineLvl w:val="2"/>
      </w:pPr>
      <w:r>
        <w:rPr>
          <w:rFonts w:ascii="仿宋_GB2312" w:hAnsi="仿宋_GB2312" w:cs="仿宋_GB2312" w:eastAsia="仿宋_GB2312"/>
          <w:sz w:val="28"/>
          <w:b/>
        </w:rPr>
        <w:t>汉中市水产发展中心</w:t>
      </w:r>
    </w:p>
    <w:p>
      <w:pPr>
        <w:pStyle w:val="null3"/>
        <w:jc w:val="center"/>
        <w:outlineLvl w:val="2"/>
      </w:pPr>
      <w:r>
        <w:rPr>
          <w:rFonts w:ascii="仿宋_GB2312" w:hAnsi="仿宋_GB2312" w:cs="仿宋_GB2312" w:eastAsia="仿宋_GB2312"/>
          <w:sz w:val="28"/>
          <w:b/>
        </w:rPr>
        <w:t>陕西锦鑫睿泽项目管理有限公司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陕西锦鑫睿泽项目管理有限公司</w:t>
      </w:r>
      <w:r>
        <w:rPr>
          <w:rFonts w:ascii="仿宋_GB2312" w:hAnsi="仿宋_GB2312" w:cs="仿宋_GB2312" w:eastAsia="仿宋_GB2312"/>
        </w:rPr>
        <w:t>（以下简称“代理机构”）受</w:t>
      </w:r>
      <w:r>
        <w:rPr>
          <w:rFonts w:ascii="仿宋_GB2312" w:hAnsi="仿宋_GB2312" w:cs="仿宋_GB2312" w:eastAsia="仿宋_GB2312"/>
        </w:rPr>
        <w:t>汉中市水产发展中心</w:t>
      </w:r>
      <w:r>
        <w:rPr>
          <w:rFonts w:ascii="仿宋_GB2312" w:hAnsi="仿宋_GB2312" w:cs="仿宋_GB2312" w:eastAsia="仿宋_GB2312"/>
        </w:rPr>
        <w:t>委托，拟对</w:t>
      </w:r>
      <w:r>
        <w:rPr>
          <w:rFonts w:ascii="仿宋_GB2312" w:hAnsi="仿宋_GB2312" w:cs="仿宋_GB2312" w:eastAsia="仿宋_GB2312"/>
        </w:rPr>
        <w:t>2025年度汉中市长江流域重点水域水生生物资源监测项目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JXRZ-HC-2025-096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2025年度汉中市长江流域重点水域水生生物资源监测项目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在汉中市设置的17个监测站位开展水生生物资源监测工作；开展汉江汉中段鱼类的产卵场、索饵场、越冬场和洄游 通道专项调查。</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提供加盖投标供应商公章的营业执照复印件)；</w:t>
      </w:r>
    </w:p>
    <w:p>
      <w:pPr>
        <w:pStyle w:val="null3"/>
      </w:pPr>
      <w:r>
        <w:rPr>
          <w:rFonts w:ascii="仿宋_GB2312" w:hAnsi="仿宋_GB2312" w:cs="仿宋_GB2312" w:eastAsia="仿宋_GB2312"/>
        </w:rPr>
        <w:t>2、投标授权代表：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p>
      <w:pPr>
        <w:pStyle w:val="null3"/>
      </w:pPr>
      <w:r>
        <w:rPr>
          <w:rFonts w:ascii="仿宋_GB2312" w:hAnsi="仿宋_GB2312" w:cs="仿宋_GB2312" w:eastAsia="仿宋_GB2312"/>
        </w:rPr>
        <w:t>3、投标供应商资格承诺函：供应商须具有健全的财务会计制度、具有履行合同所必需的设备和专业技术能力、具有依法缴纳税收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汉中市水产发展中心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汉中市汉台区东塔路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0916-2696545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陕西锦鑫睿泽项目管理有限公司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汉中市汉台区天汉文化产业园A6-A7号楼二楼D-07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17729067337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开户名称：陕西锦鑫睿泽项目管理有限公司</w:t>
            </w:r>
          </w:p>
          <w:p>
            <w:pPr>
              <w:pStyle w:val="null3"/>
            </w:pPr>
            <w:r>
              <w:rPr>
                <w:rFonts w:ascii="仿宋_GB2312" w:hAnsi="仿宋_GB2312" w:cs="仿宋_GB2312" w:eastAsia="仿宋_GB2312"/>
              </w:rPr>
              <w:t>开户银行：陕西汉中农村商业银行股份有限公司滨江新区支行</w:t>
            </w:r>
          </w:p>
          <w:p>
            <w:pPr>
              <w:pStyle w:val="null3"/>
            </w:pPr>
            <w:r>
              <w:rPr>
                <w:rFonts w:ascii="仿宋_GB2312" w:hAnsi="仿宋_GB2312" w:cs="仿宋_GB2312" w:eastAsia="仿宋_GB2312"/>
              </w:rPr>
              <w:t>银行账号：2706012401201000009552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代理服务费收费标准：参照《招标代理服务收费管理暂行办法》的通知(计价格[2002]1980号) 和《关于招标代理服务收费有关问题的通知》(发改办价格[2003]857号)的有关规定按标准收 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汉中市水产发展中心</w:t>
      </w:r>
      <w:r>
        <w:rPr>
          <w:rFonts w:ascii="仿宋_GB2312" w:hAnsi="仿宋_GB2312" w:cs="仿宋_GB2312" w:eastAsia="仿宋_GB2312"/>
        </w:rPr>
        <w:t>和</w:t>
      </w:r>
      <w:r>
        <w:rPr>
          <w:rFonts w:ascii="仿宋_GB2312" w:hAnsi="仿宋_GB2312" w:cs="仿宋_GB2312" w:eastAsia="仿宋_GB2312"/>
        </w:rPr>
        <w:t>陕西锦鑫睿泽项目管理有限公司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汉中市水产发展中心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陕西锦鑫睿泽项目管理有限公司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汉中市水产发展中心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陕西锦鑫睿泽项目管理有限公司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依据最终签订合同内容执行。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陕西锦鑫睿泽项目管理有限公司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联系电话：17729067337</w:t>
      </w:r>
    </w:p>
    <w:p>
      <w:pPr>
        <w:pStyle w:val="null3"/>
      </w:pPr>
      <w:r>
        <w:rPr>
          <w:rFonts w:ascii="仿宋_GB2312" w:hAnsi="仿宋_GB2312" w:cs="仿宋_GB2312" w:eastAsia="仿宋_GB2312"/>
        </w:rPr>
        <w:t>地址：汉中市汉台区天汉文化产业园A6-A7号楼二楼D-07</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在汉中市设置的17个监测站位开展水生生物资源监测工作；开展汉江汉中段鱼类的产卵场、索饵场、越冬场和洄游通道专项调查。</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750000.00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标的名称：750000.00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560"/>
              <w:jc w:val="both"/>
            </w:pPr>
            <w:r>
              <w:rPr>
                <w:rFonts w:ascii="仿宋_GB2312" w:hAnsi="仿宋_GB2312" w:cs="仿宋_GB2312" w:eastAsia="仿宋_GB2312"/>
                <w:sz w:val="28"/>
                <w:color w:val="040305"/>
              </w:rPr>
              <w:t>本项目实施内容包含全市</w:t>
            </w:r>
            <w:r>
              <w:rPr>
                <w:rFonts w:ascii="仿宋_GB2312" w:hAnsi="仿宋_GB2312" w:cs="仿宋_GB2312" w:eastAsia="仿宋_GB2312"/>
                <w:sz w:val="28"/>
                <w:color w:val="040305"/>
              </w:rPr>
              <w:t>17个监测站位的水生生物资源监测、渔业生态环境监测以及汉江三场一通道专项调查。</w:t>
            </w:r>
          </w:p>
          <w:p>
            <w:pPr>
              <w:pStyle w:val="null3"/>
              <w:ind w:firstLine="560"/>
              <w:jc w:val="both"/>
            </w:pPr>
            <w:r>
              <w:rPr>
                <w:rFonts w:ascii="仿宋_GB2312" w:hAnsi="仿宋_GB2312" w:cs="仿宋_GB2312" w:eastAsia="仿宋_GB2312"/>
                <w:sz w:val="28"/>
                <w:color w:val="040305"/>
              </w:rPr>
              <w:t>（一）水生生物资源监测</w:t>
            </w:r>
          </w:p>
          <w:p>
            <w:pPr>
              <w:pStyle w:val="null3"/>
              <w:ind w:firstLine="560"/>
              <w:jc w:val="both"/>
            </w:pPr>
            <w:r>
              <w:rPr>
                <w:rFonts w:ascii="仿宋_GB2312" w:hAnsi="仿宋_GB2312" w:cs="仿宋_GB2312" w:eastAsia="仿宋_GB2312"/>
                <w:sz w:val="28"/>
                <w:color w:val="040305"/>
              </w:rPr>
              <w:t>1.鱼类资源监测</w:t>
            </w:r>
          </w:p>
          <w:p>
            <w:pPr>
              <w:pStyle w:val="null3"/>
              <w:ind w:firstLine="560"/>
              <w:jc w:val="both"/>
            </w:pPr>
            <w:r>
              <w:rPr>
                <w:rFonts w:ascii="仿宋_GB2312" w:hAnsi="仿宋_GB2312" w:cs="仿宋_GB2312" w:eastAsia="仿宋_GB2312"/>
                <w:sz w:val="28"/>
                <w:color w:val="040305"/>
              </w:rPr>
              <w:t>按照资源监测工作方案的要求，分繁殖期、索饵期，在</w:t>
            </w:r>
            <w:r>
              <w:rPr>
                <w:rFonts w:ascii="仿宋_GB2312" w:hAnsi="仿宋_GB2312" w:cs="仿宋_GB2312" w:eastAsia="仿宋_GB2312"/>
                <w:sz w:val="28"/>
                <w:color w:val="040305"/>
              </w:rPr>
              <w:t>监测站位</w:t>
            </w:r>
            <w:r>
              <w:rPr>
                <w:rFonts w:ascii="仿宋_GB2312" w:hAnsi="仿宋_GB2312" w:cs="仿宋_GB2312" w:eastAsia="仿宋_GB2312"/>
                <w:sz w:val="28"/>
                <w:color w:val="040305"/>
              </w:rPr>
              <w:t>处河道内</w:t>
            </w:r>
            <w:r>
              <w:rPr>
                <w:rFonts w:ascii="仿宋_GB2312" w:hAnsi="仿宋_GB2312" w:cs="仿宋_GB2312" w:eastAsia="仿宋_GB2312"/>
                <w:sz w:val="28"/>
                <w:color w:val="040305"/>
              </w:rPr>
              <w:t>使用地笼、三层刺网等渔具进行主动采集，</w:t>
            </w:r>
            <w:r>
              <w:rPr>
                <w:rFonts w:ascii="仿宋_GB2312" w:hAnsi="仿宋_GB2312" w:cs="仿宋_GB2312" w:eastAsia="仿宋_GB2312"/>
                <w:sz w:val="28"/>
                <w:color w:val="040305"/>
              </w:rPr>
              <w:t>对所采集</w:t>
            </w:r>
            <w:r>
              <w:rPr>
                <w:rFonts w:ascii="仿宋_GB2312" w:hAnsi="仿宋_GB2312" w:cs="仿宋_GB2312" w:eastAsia="仿宋_GB2312"/>
                <w:sz w:val="28"/>
                <w:color w:val="000000"/>
              </w:rPr>
              <w:t>鱼类的种类、照片、体重、体长等</w:t>
            </w:r>
            <w:r>
              <w:rPr>
                <w:rFonts w:ascii="仿宋_GB2312" w:hAnsi="仿宋_GB2312" w:cs="仿宋_GB2312" w:eastAsia="仿宋_GB2312"/>
                <w:sz w:val="28"/>
                <w:color w:val="040305"/>
              </w:rPr>
              <w:t>基础</w:t>
            </w:r>
            <w:r>
              <w:rPr>
                <w:rFonts w:ascii="仿宋_GB2312" w:hAnsi="仿宋_GB2312" w:cs="仿宋_GB2312" w:eastAsia="仿宋_GB2312"/>
                <w:sz w:val="28"/>
                <w:color w:val="040305"/>
              </w:rPr>
              <w:t>数据</w:t>
            </w:r>
            <w:r>
              <w:rPr>
                <w:rFonts w:ascii="仿宋_GB2312" w:hAnsi="仿宋_GB2312" w:cs="仿宋_GB2312" w:eastAsia="仿宋_GB2312"/>
                <w:sz w:val="28"/>
                <w:color w:val="040305"/>
              </w:rPr>
              <w:t>进行</w:t>
            </w:r>
            <w:r>
              <w:rPr>
                <w:rFonts w:ascii="仿宋_GB2312" w:hAnsi="仿宋_GB2312" w:cs="仿宋_GB2312" w:eastAsia="仿宋_GB2312"/>
                <w:sz w:val="28"/>
                <w:color w:val="040305"/>
              </w:rPr>
              <w:t>现场</w:t>
            </w:r>
            <w:r>
              <w:rPr>
                <w:rFonts w:ascii="仿宋_GB2312" w:hAnsi="仿宋_GB2312" w:cs="仿宋_GB2312" w:eastAsia="仿宋_GB2312"/>
                <w:sz w:val="28"/>
                <w:color w:val="040305"/>
              </w:rPr>
              <w:t>测量、记录</w:t>
            </w:r>
            <w:r>
              <w:rPr>
                <w:rFonts w:ascii="仿宋_GB2312" w:hAnsi="仿宋_GB2312" w:cs="仿宋_GB2312" w:eastAsia="仿宋_GB2312"/>
                <w:sz w:val="28"/>
                <w:color w:val="040305"/>
              </w:rPr>
              <w:t>。</w:t>
            </w:r>
            <w:r>
              <w:rPr>
                <w:rFonts w:ascii="仿宋_GB2312" w:hAnsi="仿宋_GB2312" w:cs="仿宋_GB2312" w:eastAsia="仿宋_GB2312"/>
                <w:sz w:val="28"/>
                <w:color w:val="040305"/>
              </w:rPr>
              <w:t>每个站位监测时间不少于</w:t>
            </w:r>
            <w:r>
              <w:rPr>
                <w:rFonts w:ascii="仿宋_GB2312" w:hAnsi="仿宋_GB2312" w:cs="仿宋_GB2312" w:eastAsia="仿宋_GB2312"/>
                <w:sz w:val="28"/>
                <w:color w:val="040305"/>
              </w:rPr>
              <w:t>10天/周期，监测完成后提交所有原始记录表格及电子上传表格。</w:t>
            </w:r>
          </w:p>
          <w:p>
            <w:pPr>
              <w:pStyle w:val="null3"/>
              <w:ind w:firstLine="560"/>
              <w:jc w:val="both"/>
            </w:pPr>
            <w:r>
              <w:rPr>
                <w:rFonts w:ascii="仿宋_GB2312" w:hAnsi="仿宋_GB2312" w:cs="仿宋_GB2312" w:eastAsia="仿宋_GB2312"/>
                <w:sz w:val="28"/>
                <w:color w:val="040305"/>
              </w:rPr>
              <w:t>2.</w:t>
            </w:r>
            <w:r>
              <w:rPr>
                <w:rFonts w:ascii="仿宋_GB2312" w:hAnsi="仿宋_GB2312" w:cs="仿宋_GB2312" w:eastAsia="仿宋_GB2312"/>
                <w:sz w:val="28"/>
                <w:color w:val="040305"/>
              </w:rPr>
              <w:t>浮游生物和底栖动物</w:t>
            </w:r>
            <w:r>
              <w:rPr>
                <w:rFonts w:ascii="仿宋_GB2312" w:hAnsi="仿宋_GB2312" w:cs="仿宋_GB2312" w:eastAsia="仿宋_GB2312"/>
                <w:sz w:val="28"/>
                <w:color w:val="040305"/>
              </w:rPr>
              <w:t>监测</w:t>
            </w:r>
          </w:p>
          <w:p>
            <w:pPr>
              <w:pStyle w:val="null3"/>
              <w:ind w:firstLine="560"/>
              <w:jc w:val="both"/>
            </w:pPr>
            <w:r>
              <w:rPr>
                <w:rFonts w:ascii="仿宋_GB2312" w:hAnsi="仿宋_GB2312" w:cs="仿宋_GB2312" w:eastAsia="仿宋_GB2312"/>
                <w:sz w:val="28"/>
                <w:color w:val="040305"/>
              </w:rPr>
              <w:t>分繁殖期、索饵期，对全市</w:t>
            </w:r>
            <w:r>
              <w:rPr>
                <w:rFonts w:ascii="仿宋_GB2312" w:hAnsi="仿宋_GB2312" w:cs="仿宋_GB2312" w:eastAsia="仿宋_GB2312"/>
                <w:sz w:val="28"/>
                <w:color w:val="040305"/>
              </w:rPr>
              <w:t>17个监测站位河道内的</w:t>
            </w:r>
            <w:r>
              <w:rPr>
                <w:rFonts w:ascii="仿宋_GB2312" w:hAnsi="仿宋_GB2312" w:cs="仿宋_GB2312" w:eastAsia="仿宋_GB2312"/>
                <w:sz w:val="28"/>
                <w:color w:val="040305"/>
              </w:rPr>
              <w:t>浮游生物和底栖动物</w:t>
            </w:r>
            <w:r>
              <w:rPr>
                <w:rFonts w:ascii="仿宋_GB2312" w:hAnsi="仿宋_GB2312" w:cs="仿宋_GB2312" w:eastAsia="仿宋_GB2312"/>
                <w:sz w:val="28"/>
                <w:color w:val="040305"/>
              </w:rPr>
              <w:t>现场进行采集、固定，送实验室进行</w:t>
            </w:r>
            <w:r>
              <w:rPr>
                <w:rFonts w:ascii="仿宋_GB2312" w:hAnsi="仿宋_GB2312" w:cs="仿宋_GB2312" w:eastAsia="仿宋_GB2312"/>
                <w:sz w:val="28"/>
                <w:color w:val="040305"/>
              </w:rPr>
              <w:t>定性、定量分析</w:t>
            </w:r>
            <w:r>
              <w:rPr>
                <w:rFonts w:ascii="仿宋_GB2312" w:hAnsi="仿宋_GB2312" w:cs="仿宋_GB2312" w:eastAsia="仿宋_GB2312"/>
                <w:sz w:val="28"/>
                <w:color w:val="040305"/>
              </w:rPr>
              <w:t>。</w:t>
            </w:r>
            <w:r>
              <w:rPr>
                <w:rFonts w:ascii="仿宋_GB2312" w:hAnsi="仿宋_GB2312" w:cs="仿宋_GB2312" w:eastAsia="仿宋_GB2312"/>
                <w:sz w:val="28"/>
                <w:color w:val="040305"/>
              </w:rPr>
              <w:t>检测完成后提交检测报告及电子上传表格。</w:t>
            </w:r>
          </w:p>
          <w:p>
            <w:pPr>
              <w:pStyle w:val="null3"/>
              <w:ind w:firstLine="560"/>
              <w:jc w:val="both"/>
            </w:pPr>
            <w:r>
              <w:rPr>
                <w:rFonts w:ascii="仿宋_GB2312" w:hAnsi="仿宋_GB2312" w:cs="仿宋_GB2312" w:eastAsia="仿宋_GB2312"/>
                <w:sz w:val="28"/>
                <w:color w:val="040305"/>
              </w:rPr>
              <w:t>（二）渔业生态环境监测</w:t>
            </w:r>
          </w:p>
          <w:p>
            <w:pPr>
              <w:pStyle w:val="null3"/>
              <w:ind w:firstLine="560"/>
              <w:jc w:val="both"/>
            </w:pPr>
            <w:r>
              <w:rPr>
                <w:rFonts w:ascii="仿宋_GB2312" w:hAnsi="仿宋_GB2312" w:cs="仿宋_GB2312" w:eastAsia="仿宋_GB2312"/>
                <w:sz w:val="28"/>
                <w:color w:val="040305"/>
              </w:rPr>
              <w:t>1.</w:t>
            </w:r>
            <w:r>
              <w:rPr>
                <w:rFonts w:ascii="仿宋_GB2312" w:hAnsi="仿宋_GB2312" w:cs="仿宋_GB2312" w:eastAsia="仿宋_GB2312"/>
                <w:sz w:val="28"/>
                <w:color w:val="040305"/>
              </w:rPr>
              <w:t>水体理化环境指标</w:t>
            </w:r>
            <w:r>
              <w:rPr>
                <w:rFonts w:ascii="仿宋_GB2312" w:hAnsi="仿宋_GB2312" w:cs="仿宋_GB2312" w:eastAsia="仿宋_GB2312"/>
                <w:sz w:val="28"/>
                <w:color w:val="040305"/>
              </w:rPr>
              <w:t>监测</w:t>
            </w:r>
          </w:p>
          <w:p>
            <w:pPr>
              <w:pStyle w:val="null3"/>
              <w:ind w:firstLine="560"/>
              <w:jc w:val="both"/>
            </w:pPr>
            <w:r>
              <w:rPr>
                <w:rFonts w:ascii="仿宋_GB2312" w:hAnsi="仿宋_GB2312" w:cs="仿宋_GB2312" w:eastAsia="仿宋_GB2312"/>
                <w:sz w:val="28"/>
                <w:color w:val="040305"/>
              </w:rPr>
              <w:t>分繁殖期、索饵期，对全市</w:t>
            </w:r>
            <w:r>
              <w:rPr>
                <w:rFonts w:ascii="仿宋_GB2312" w:hAnsi="仿宋_GB2312" w:cs="仿宋_GB2312" w:eastAsia="仿宋_GB2312"/>
                <w:sz w:val="28"/>
                <w:color w:val="040305"/>
              </w:rPr>
              <w:t>17个监测站位河流</w:t>
            </w:r>
            <w:r>
              <w:rPr>
                <w:rFonts w:ascii="仿宋_GB2312" w:hAnsi="仿宋_GB2312" w:cs="仿宋_GB2312" w:eastAsia="仿宋_GB2312"/>
                <w:sz w:val="28"/>
                <w:color w:val="040305"/>
              </w:rPr>
              <w:t>水体</w:t>
            </w:r>
            <w:r>
              <w:rPr>
                <w:rFonts w:ascii="仿宋_GB2312" w:hAnsi="仿宋_GB2312" w:cs="仿宋_GB2312" w:eastAsia="仿宋_GB2312"/>
                <w:sz w:val="28"/>
                <w:color w:val="040305"/>
              </w:rPr>
              <w:t>的</w:t>
            </w:r>
            <w:r>
              <w:rPr>
                <w:rFonts w:ascii="仿宋_GB2312" w:hAnsi="仿宋_GB2312" w:cs="仿宋_GB2312" w:eastAsia="仿宋_GB2312"/>
                <w:sz w:val="28"/>
                <w:color w:val="040305"/>
              </w:rPr>
              <w:t>pH、水温、溶解氧、透明度、TDS、高锰酸盐指数、总氮、总磷、非离子氨、石油类、挥发性酚、铜</w:t>
            </w:r>
            <w:r>
              <w:rPr>
                <w:rFonts w:ascii="仿宋_GB2312" w:hAnsi="仿宋_GB2312" w:cs="仿宋_GB2312" w:eastAsia="仿宋_GB2312"/>
                <w:sz w:val="28"/>
                <w:color w:val="040305"/>
              </w:rPr>
              <w:t>水质理化指标进行监测</w:t>
            </w:r>
            <w:r>
              <w:rPr>
                <w:rFonts w:ascii="仿宋_GB2312" w:hAnsi="仿宋_GB2312" w:cs="仿宋_GB2312" w:eastAsia="仿宋_GB2312"/>
                <w:sz w:val="28"/>
                <w:color w:val="040305"/>
              </w:rPr>
              <w:t>，分析方法见</w:t>
            </w:r>
            <w:r>
              <w:rPr>
                <w:rFonts w:ascii="仿宋_GB2312" w:hAnsi="仿宋_GB2312" w:cs="仿宋_GB2312" w:eastAsia="仿宋_GB2312"/>
                <w:sz w:val="28"/>
                <w:color w:val="040305"/>
              </w:rPr>
              <w:t>下</w:t>
            </w:r>
            <w:r>
              <w:rPr>
                <w:rFonts w:ascii="仿宋_GB2312" w:hAnsi="仿宋_GB2312" w:cs="仿宋_GB2312" w:eastAsia="仿宋_GB2312"/>
                <w:sz w:val="28"/>
                <w:color w:val="040305"/>
              </w:rPr>
              <w:t>表。</w:t>
            </w:r>
            <w:r>
              <w:rPr>
                <w:rFonts w:ascii="仿宋_GB2312" w:hAnsi="仿宋_GB2312" w:cs="仿宋_GB2312" w:eastAsia="仿宋_GB2312"/>
                <w:sz w:val="28"/>
                <w:color w:val="040305"/>
              </w:rPr>
              <w:t>检测完成后提交两周期检测报告及电子上传表格。</w:t>
            </w:r>
          </w:p>
          <w:tbl>
            <w:tblPr>
              <w:tblBorders>
                <w:top w:val="none" w:color="000000" w:sz="4"/>
                <w:left w:val="none" w:color="000000" w:sz="4"/>
                <w:bottom w:val="none" w:color="000000" w:sz="4"/>
                <w:right w:val="none" w:color="000000" w:sz="4"/>
                <w:insideH w:val="none"/>
                <w:insideV w:val="none"/>
              </w:tblBorders>
            </w:tblPr>
            <w:tblGrid>
              <w:gridCol w:w="267"/>
              <w:gridCol w:w="634"/>
              <w:gridCol w:w="815"/>
              <w:gridCol w:w="823"/>
            </w:tblGrid>
            <w:tr>
              <w:tc>
                <w:tcPr>
                  <w:tcW w:type="dxa" w:w="2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60509"/>
                    </w:rPr>
                    <w:t>序号</w:t>
                  </w:r>
                </w:p>
              </w:tc>
              <w:tc>
                <w:tcPr>
                  <w:tcW w:type="dxa" w:w="6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60509"/>
                    </w:rPr>
                    <w:t>指标</w:t>
                  </w:r>
                </w:p>
              </w:tc>
              <w:tc>
                <w:tcPr>
                  <w:tcW w:type="dxa" w:w="8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60509"/>
                    </w:rPr>
                    <w:t>测定方法</w:t>
                  </w:r>
                </w:p>
              </w:tc>
              <w:tc>
                <w:tcPr>
                  <w:tcW w:type="dxa" w:w="82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60509"/>
                    </w:rPr>
                    <w:t>标准编号</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水温</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温度计法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w:t>
                  </w:r>
                  <w:r>
                    <w:rPr>
                      <w:rFonts w:ascii="仿宋_GB2312" w:hAnsi="仿宋_GB2312" w:cs="仿宋_GB2312" w:eastAsia="仿宋_GB2312"/>
                      <w:sz w:val="28"/>
                      <w:color w:val="060509"/>
                    </w:rPr>
                    <w:t>1</w:t>
                  </w:r>
                  <w:r>
                    <w:rPr>
                      <w:rFonts w:ascii="仿宋_GB2312" w:hAnsi="仿宋_GB2312" w:cs="仿宋_GB2312" w:eastAsia="仿宋_GB2312"/>
                      <w:sz w:val="28"/>
                      <w:color w:val="1F1E24"/>
                    </w:rPr>
                    <w:t>3</w:t>
                  </w:r>
                  <w:r>
                    <w:rPr>
                      <w:rFonts w:ascii="仿宋_GB2312" w:hAnsi="仿宋_GB2312" w:cs="仿宋_GB2312" w:eastAsia="仿宋_GB2312"/>
                      <w:sz w:val="28"/>
                      <w:color w:val="060509"/>
                    </w:rPr>
                    <w:t>1</w:t>
                  </w:r>
                  <w:r>
                    <w:rPr>
                      <w:rFonts w:ascii="仿宋_GB2312" w:hAnsi="仿宋_GB2312" w:cs="仿宋_GB2312" w:eastAsia="仿宋_GB2312"/>
                      <w:sz w:val="28"/>
                      <w:color w:val="1F1E24"/>
                    </w:rPr>
                    <w:t>95</w:t>
                  </w:r>
                  <w:r>
                    <w:rPr>
                      <w:rFonts w:ascii="仿宋_GB2312" w:hAnsi="仿宋_GB2312" w:cs="仿宋_GB2312" w:eastAsia="仿宋_GB2312"/>
                      <w:sz w:val="28"/>
                      <w:color w:val="060509"/>
                    </w:rPr>
                    <w:t xml:space="preserve">- </w:t>
                  </w:r>
                  <w:r>
                    <w:rPr>
                      <w:rFonts w:ascii="仿宋_GB2312" w:hAnsi="仿宋_GB2312" w:cs="仿宋_GB2312" w:eastAsia="仿宋_GB2312"/>
                      <w:sz w:val="28"/>
                      <w:color w:val="1F1E24"/>
                    </w:rPr>
                    <w:t>9</w:t>
                  </w:r>
                  <w:r>
                    <w:rPr>
                      <w:rFonts w:ascii="仿宋_GB2312" w:hAnsi="仿宋_GB2312" w:cs="仿宋_GB2312" w:eastAsia="仿宋_GB2312"/>
                      <w:sz w:val="28"/>
                      <w:color w:val="060509"/>
                    </w:rPr>
                    <w:t>1</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pH</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玻璃电极法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GB692</w:t>
                  </w:r>
                  <w:r>
                    <w:rPr>
                      <w:rFonts w:ascii="仿宋_GB2312" w:hAnsi="仿宋_GB2312" w:cs="仿宋_GB2312" w:eastAsia="仿宋_GB2312"/>
                      <w:sz w:val="28"/>
                      <w:color w:val="060509"/>
                    </w:rPr>
                    <w:t>0</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DO</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碘量法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GB7489</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高锰酸盐指数</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国家标准水质高锰酸盐指数测定法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w:t>
                  </w:r>
                  <w:r>
                    <w:rPr>
                      <w:rFonts w:ascii="仿宋_GB2312" w:hAnsi="仿宋_GB2312" w:cs="仿宋_GB2312" w:eastAsia="仿宋_GB2312"/>
                      <w:sz w:val="28"/>
                      <w:color w:val="3D3D43"/>
                    </w:rPr>
                    <w:t>/</w:t>
                  </w:r>
                  <w:r>
                    <w:rPr>
                      <w:rFonts w:ascii="仿宋_GB2312" w:hAnsi="仿宋_GB2312" w:cs="仿宋_GB2312" w:eastAsia="仿宋_GB2312"/>
                      <w:sz w:val="28"/>
                      <w:color w:val="1F1E24"/>
                    </w:rPr>
                    <w:t>Tl1892-1989</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总氮</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气相分子吸收光谱</w:t>
                  </w:r>
                  <w:r>
                    <w:rPr>
                      <w:rFonts w:ascii="仿宋_GB2312" w:hAnsi="仿宋_GB2312" w:cs="仿宋_GB2312" w:eastAsia="仿宋_GB2312"/>
                      <w:sz w:val="28"/>
                      <w:color w:val="3D3D43"/>
                    </w:rPr>
                    <w:t>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 xml:space="preserve">GB </w:t>
                  </w:r>
                  <w:r>
                    <w:rPr>
                      <w:rFonts w:ascii="仿宋_GB2312" w:hAnsi="仿宋_GB2312" w:cs="仿宋_GB2312" w:eastAsia="仿宋_GB2312"/>
                      <w:sz w:val="28"/>
                      <w:color w:val="060509"/>
                    </w:rPr>
                    <w:t xml:space="preserve">l </w:t>
                  </w:r>
                  <w:r>
                    <w:rPr>
                      <w:rFonts w:ascii="仿宋_GB2312" w:hAnsi="仿宋_GB2312" w:cs="仿宋_GB2312" w:eastAsia="仿宋_GB2312"/>
                      <w:sz w:val="28"/>
                      <w:color w:val="1F1E24"/>
                    </w:rPr>
                    <w:t>1894-89</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总磷</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钼氨酸</w:t>
                  </w:r>
                  <w:r>
                    <w:rPr>
                      <w:rFonts w:ascii="仿宋_GB2312" w:hAnsi="仿宋_GB2312" w:cs="仿宋_GB2312" w:eastAsia="仿宋_GB2312"/>
                      <w:sz w:val="28"/>
                      <w:color w:val="1F1E24"/>
                    </w:rPr>
                    <w:t>--抗坏血酸法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w:t>
                  </w:r>
                  <w:r>
                    <w:rPr>
                      <w:rFonts w:ascii="仿宋_GB2312" w:hAnsi="仿宋_GB2312" w:cs="仿宋_GB2312" w:eastAsia="仿宋_GB2312"/>
                      <w:sz w:val="28"/>
                      <w:color w:val="3D3D43"/>
                    </w:rPr>
                    <w:t>/</w:t>
                  </w:r>
                  <w:r>
                    <w:rPr>
                      <w:rFonts w:ascii="仿宋_GB2312" w:hAnsi="仿宋_GB2312" w:cs="仿宋_GB2312" w:eastAsia="仿宋_GB2312"/>
                      <w:sz w:val="28"/>
                      <w:color w:val="1F1E24"/>
                    </w:rPr>
                    <w:t xml:space="preserve">T </w:t>
                  </w:r>
                  <w:r>
                    <w:rPr>
                      <w:rFonts w:ascii="仿宋_GB2312" w:hAnsi="仿宋_GB2312" w:cs="仿宋_GB2312" w:eastAsia="仿宋_GB2312"/>
                      <w:sz w:val="28"/>
                      <w:color w:val="060509"/>
                    </w:rPr>
                    <w:t>11</w:t>
                  </w:r>
                  <w:r>
                    <w:rPr>
                      <w:rFonts w:ascii="仿宋_GB2312" w:hAnsi="仿宋_GB2312" w:cs="仿宋_GB2312" w:eastAsia="仿宋_GB2312"/>
                      <w:sz w:val="28"/>
                      <w:color w:val="1F1E24"/>
                    </w:rPr>
                    <w:t>893-1989</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非离子氨</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水杨酸原子分光光度法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w:t>
                  </w:r>
                  <w:r>
                    <w:rPr>
                      <w:rFonts w:ascii="仿宋_GB2312" w:hAnsi="仿宋_GB2312" w:cs="仿宋_GB2312" w:eastAsia="仿宋_GB2312"/>
                      <w:sz w:val="28"/>
                      <w:color w:val="060509"/>
                    </w:rPr>
                    <w:t>7</w:t>
                  </w:r>
                  <w:r>
                    <w:rPr>
                      <w:rFonts w:ascii="仿宋_GB2312" w:hAnsi="仿宋_GB2312" w:cs="仿宋_GB2312" w:eastAsia="仿宋_GB2312"/>
                      <w:sz w:val="28"/>
                      <w:color w:val="1F1E24"/>
                    </w:rPr>
                    <w:t>48</w:t>
                  </w:r>
                  <w:r>
                    <w:rPr>
                      <w:rFonts w:ascii="仿宋_GB2312" w:hAnsi="仿宋_GB2312" w:cs="仿宋_GB2312" w:eastAsia="仿宋_GB2312"/>
                      <w:sz w:val="28"/>
                      <w:color w:val="060509"/>
                    </w:rPr>
                    <w:t>1</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石油类</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红外分光光度法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w:t>
                  </w:r>
                  <w:r>
                    <w:rPr>
                      <w:rFonts w:ascii="仿宋_GB2312" w:hAnsi="仿宋_GB2312" w:cs="仿宋_GB2312" w:eastAsia="仿宋_GB2312"/>
                      <w:sz w:val="28"/>
                      <w:color w:val="3D3D43"/>
                    </w:rPr>
                    <w:t>/</w:t>
                  </w:r>
                  <w:r>
                    <w:rPr>
                      <w:rFonts w:ascii="仿宋_GB2312" w:hAnsi="仿宋_GB2312" w:cs="仿宋_GB2312" w:eastAsia="仿宋_GB2312"/>
                      <w:sz w:val="28"/>
                      <w:color w:val="1F1E24"/>
                    </w:rPr>
                    <w:t>T16488</w:t>
                  </w:r>
                  <w:r>
                    <w:rPr>
                      <w:rFonts w:ascii="仿宋_GB2312" w:hAnsi="仿宋_GB2312" w:cs="仿宋_GB2312" w:eastAsia="仿宋_GB2312"/>
                      <w:sz w:val="28"/>
                      <w:color w:val="3D3D43"/>
                    </w:rPr>
                    <w:t>-</w:t>
                  </w:r>
                  <w:r>
                    <w:rPr>
                      <w:rFonts w:ascii="仿宋_GB2312" w:hAnsi="仿宋_GB2312" w:cs="仿宋_GB2312" w:eastAsia="仿宋_GB2312"/>
                      <w:sz w:val="28"/>
                      <w:color w:val="1F1E24"/>
                    </w:rPr>
                    <w:t>1996</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挥发性酚</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氨基比林分光光度法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GB7475</w:t>
                  </w:r>
                </w:p>
              </w:tc>
            </w:tr>
            <w:tr>
              <w:tc>
                <w:tcPr>
                  <w:tcW w:type="dxa" w:w="2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center"/>
                  </w:pPr>
                </w:p>
              </w:tc>
              <w:tc>
                <w:tcPr>
                  <w:tcW w:type="dxa" w:w="6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铜</w:t>
                  </w:r>
                </w:p>
              </w:tc>
              <w:tc>
                <w:tcPr>
                  <w:tcW w:type="dxa" w:w="8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原子吸收分光光度法</w:t>
                  </w:r>
                </w:p>
              </w:tc>
              <w:tc>
                <w:tcPr>
                  <w:tcW w:type="dxa" w:w="8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1F1E24"/>
                    </w:rPr>
                    <w:t>GB7475</w:t>
                  </w:r>
                </w:p>
              </w:tc>
            </w:tr>
          </w:tbl>
          <w:p>
            <w:pPr>
              <w:pStyle w:val="null3"/>
              <w:ind w:firstLine="560"/>
              <w:jc w:val="both"/>
            </w:pPr>
            <w:r>
              <w:rPr>
                <w:rFonts w:ascii="仿宋_GB2312" w:hAnsi="仿宋_GB2312" w:cs="仿宋_GB2312" w:eastAsia="仿宋_GB2312"/>
                <w:sz w:val="28"/>
                <w:color w:val="000000"/>
              </w:rPr>
              <w:t>2.</w:t>
            </w:r>
            <w:r>
              <w:rPr>
                <w:rFonts w:ascii="仿宋_GB2312" w:hAnsi="仿宋_GB2312" w:cs="仿宋_GB2312" w:eastAsia="仿宋_GB2312"/>
                <w:sz w:val="28"/>
                <w:color w:val="040305"/>
              </w:rPr>
              <w:t>生境状况监测</w:t>
            </w:r>
          </w:p>
          <w:p>
            <w:pPr>
              <w:pStyle w:val="null3"/>
              <w:ind w:firstLine="560"/>
              <w:jc w:val="both"/>
            </w:pPr>
            <w:r>
              <w:rPr>
                <w:rFonts w:ascii="仿宋_GB2312" w:hAnsi="仿宋_GB2312" w:cs="仿宋_GB2312" w:eastAsia="仿宋_GB2312"/>
                <w:sz w:val="28"/>
                <w:color w:val="040305"/>
              </w:rPr>
              <w:t>按照资源监测工作方案的要求，在开展鱼类资源监测的同时，对汉中市</w:t>
            </w:r>
            <w:r>
              <w:rPr>
                <w:rFonts w:ascii="仿宋_GB2312" w:hAnsi="仿宋_GB2312" w:cs="仿宋_GB2312" w:eastAsia="仿宋_GB2312"/>
                <w:sz w:val="28"/>
                <w:color w:val="040305"/>
              </w:rPr>
              <w:t>境内重点水域的水生生物重要栖息地的水体连通性、岸线硬化度</w:t>
            </w:r>
            <w:r>
              <w:rPr>
                <w:rFonts w:ascii="仿宋_GB2312" w:hAnsi="仿宋_GB2312" w:cs="仿宋_GB2312" w:eastAsia="仿宋_GB2312"/>
                <w:sz w:val="28"/>
                <w:color w:val="040305"/>
              </w:rPr>
              <w:t>进行监测</w:t>
            </w:r>
            <w:r>
              <w:rPr>
                <w:rFonts w:ascii="仿宋_GB2312" w:hAnsi="仿宋_GB2312" w:cs="仿宋_GB2312" w:eastAsia="仿宋_GB2312"/>
                <w:sz w:val="28"/>
                <w:color w:val="040305"/>
              </w:rPr>
              <w:t>，</w:t>
            </w:r>
            <w:r>
              <w:rPr>
                <w:rFonts w:ascii="仿宋_GB2312" w:hAnsi="仿宋_GB2312" w:cs="仿宋_GB2312" w:eastAsia="仿宋_GB2312"/>
                <w:sz w:val="28"/>
                <w:color w:val="040305"/>
              </w:rPr>
              <w:t>填写相应记录表格。</w:t>
            </w:r>
          </w:p>
          <w:p>
            <w:pPr>
              <w:pStyle w:val="null3"/>
              <w:ind w:firstLine="560"/>
              <w:jc w:val="both"/>
            </w:pPr>
            <w:r>
              <w:rPr>
                <w:rFonts w:ascii="仿宋_GB2312" w:hAnsi="仿宋_GB2312" w:cs="仿宋_GB2312" w:eastAsia="仿宋_GB2312"/>
                <w:sz w:val="28"/>
                <w:color w:val="040305"/>
              </w:rPr>
              <w:t>（</w:t>
            </w:r>
            <w:r>
              <w:rPr>
                <w:rFonts w:ascii="仿宋_GB2312" w:hAnsi="仿宋_GB2312" w:cs="仿宋_GB2312" w:eastAsia="仿宋_GB2312"/>
                <w:sz w:val="28"/>
                <w:color w:val="040305"/>
              </w:rPr>
              <w:t>三</w:t>
            </w:r>
            <w:r>
              <w:rPr>
                <w:rFonts w:ascii="仿宋_GB2312" w:hAnsi="仿宋_GB2312" w:cs="仿宋_GB2312" w:eastAsia="仿宋_GB2312"/>
                <w:sz w:val="28"/>
                <w:color w:val="040305"/>
              </w:rPr>
              <w:t>）汉江三场一通道专项调查</w:t>
            </w:r>
          </w:p>
          <w:p>
            <w:pPr>
              <w:pStyle w:val="null3"/>
              <w:ind w:firstLine="560"/>
              <w:jc w:val="both"/>
            </w:pPr>
            <w:r>
              <w:rPr>
                <w:rFonts w:ascii="仿宋_GB2312" w:hAnsi="仿宋_GB2312" w:cs="仿宋_GB2312" w:eastAsia="仿宋_GB2312"/>
                <w:sz w:val="28"/>
                <w:color w:val="040305"/>
              </w:rPr>
              <w:t>根据历史监测数据</w:t>
            </w:r>
            <w:r>
              <w:rPr>
                <w:rFonts w:ascii="仿宋_GB2312" w:hAnsi="仿宋_GB2312" w:cs="仿宋_GB2312" w:eastAsia="仿宋_GB2312"/>
                <w:sz w:val="28"/>
                <w:color w:val="040305"/>
              </w:rPr>
              <w:t>及汉江水文地貌环境，</w:t>
            </w:r>
            <w:r>
              <w:rPr>
                <w:rFonts w:ascii="仿宋_GB2312" w:hAnsi="仿宋_GB2312" w:cs="仿宋_GB2312" w:eastAsia="仿宋_GB2312"/>
                <w:sz w:val="28"/>
                <w:color w:val="040305"/>
              </w:rPr>
              <w:t>开展汉江鱼类的产卵场、索饵场、越冬场和洄游通道专项调查。</w:t>
            </w:r>
            <w:r>
              <w:rPr>
                <w:rFonts w:ascii="仿宋_GB2312" w:hAnsi="仿宋_GB2312" w:cs="仿宋_GB2312" w:eastAsia="仿宋_GB2312"/>
                <w:sz w:val="28"/>
                <w:color w:val="040305"/>
              </w:rPr>
              <w:t>并</w:t>
            </w:r>
            <w:r>
              <w:rPr>
                <w:rFonts w:ascii="仿宋_GB2312" w:hAnsi="仿宋_GB2312" w:cs="仿宋_GB2312" w:eastAsia="仿宋_GB2312"/>
                <w:sz w:val="28"/>
              </w:rPr>
              <w:t>形成调查报告及汉江三场一通道分布图</w:t>
            </w:r>
            <w:r>
              <w:rPr>
                <w:rFonts w:ascii="仿宋_GB2312" w:hAnsi="仿宋_GB2312" w:cs="仿宋_GB2312" w:eastAsia="仿宋_GB2312"/>
                <w:sz w:val="28"/>
                <w:color w:val="040305"/>
              </w:rPr>
              <w:t>。</w:t>
            </w:r>
          </w:p>
          <w:p>
            <w:pPr>
              <w:pStyle w:val="null3"/>
              <w:ind w:firstLine="560"/>
              <w:jc w:val="both"/>
            </w:pPr>
            <w:r>
              <w:rPr>
                <w:rFonts w:ascii="仿宋_GB2312" w:hAnsi="仿宋_GB2312" w:cs="仿宋_GB2312" w:eastAsia="仿宋_GB2312"/>
                <w:sz w:val="28"/>
                <w:color w:val="040305"/>
              </w:rPr>
              <w:t>（四）工作要求</w:t>
            </w:r>
          </w:p>
          <w:p>
            <w:pPr>
              <w:pStyle w:val="null3"/>
              <w:ind w:firstLine="560"/>
              <w:jc w:val="both"/>
            </w:pPr>
            <w:r>
              <w:rPr>
                <w:rFonts w:ascii="仿宋_GB2312" w:hAnsi="仿宋_GB2312" w:cs="仿宋_GB2312" w:eastAsia="仿宋_GB2312"/>
                <w:sz w:val="28"/>
                <w:color w:val="040305"/>
              </w:rPr>
              <w:t>1.</w:t>
            </w:r>
            <w:r>
              <w:rPr>
                <w:rFonts w:ascii="仿宋_GB2312" w:hAnsi="仿宋_GB2312" w:cs="仿宋_GB2312" w:eastAsia="仿宋_GB2312"/>
                <w:sz w:val="28"/>
                <w:color w:val="040305"/>
              </w:rPr>
              <w:t>监测频次</w:t>
            </w:r>
          </w:p>
          <w:p>
            <w:pPr>
              <w:pStyle w:val="null3"/>
              <w:ind w:firstLine="560"/>
              <w:jc w:val="both"/>
            </w:pPr>
            <w:r>
              <w:rPr>
                <w:rFonts w:ascii="仿宋_GB2312" w:hAnsi="仿宋_GB2312" w:cs="仿宋_GB2312" w:eastAsia="仿宋_GB2312"/>
                <w:sz w:val="28"/>
                <w:color w:val="040305"/>
              </w:rPr>
              <w:t>预计</w:t>
            </w:r>
            <w:r>
              <w:rPr>
                <w:rFonts w:ascii="仿宋_GB2312" w:hAnsi="仿宋_GB2312" w:cs="仿宋_GB2312" w:eastAsia="仿宋_GB2312"/>
                <w:sz w:val="28"/>
                <w:color w:val="040305"/>
              </w:rPr>
              <w:t>安排</w:t>
            </w:r>
            <w:r>
              <w:rPr>
                <w:rFonts w:ascii="仿宋_GB2312" w:hAnsi="仿宋_GB2312" w:cs="仿宋_GB2312" w:eastAsia="仿宋_GB2312"/>
                <w:sz w:val="28"/>
                <w:color w:val="040305"/>
              </w:rPr>
              <w:t>2次现场采样。</w:t>
            </w:r>
            <w:r>
              <w:rPr>
                <w:rFonts w:ascii="仿宋_GB2312" w:hAnsi="仿宋_GB2312" w:cs="仿宋_GB2312" w:eastAsia="仿宋_GB2312"/>
                <w:sz w:val="28"/>
                <w:color w:val="000000"/>
              </w:rPr>
              <w:t>水生生物主要繁殖期、索饵期各开展一次监测</w:t>
            </w:r>
            <w:r>
              <w:rPr>
                <w:rFonts w:ascii="仿宋_GB2312" w:hAnsi="仿宋_GB2312" w:cs="仿宋_GB2312" w:eastAsia="仿宋_GB2312"/>
                <w:sz w:val="28"/>
                <w:color w:val="000000"/>
              </w:rPr>
              <w:t>。</w:t>
            </w:r>
            <w:r>
              <w:rPr>
                <w:rFonts w:ascii="仿宋_GB2312" w:hAnsi="仿宋_GB2312" w:cs="仿宋_GB2312" w:eastAsia="仿宋_GB2312"/>
                <w:sz w:val="28"/>
                <w:color w:val="000000"/>
              </w:rPr>
              <w:t>每次监测不少于</w:t>
            </w:r>
            <w:r>
              <w:rPr>
                <w:rFonts w:ascii="仿宋_GB2312" w:hAnsi="仿宋_GB2312" w:cs="仿宋_GB2312" w:eastAsia="仿宋_GB2312"/>
                <w:sz w:val="28"/>
                <w:color w:val="000000"/>
              </w:rPr>
              <w:t>10天。全年每个站位累计监测频次不少于2次，上传数据监测天数不低于20天/站位。</w:t>
            </w:r>
          </w:p>
          <w:p>
            <w:pPr>
              <w:pStyle w:val="null3"/>
              <w:ind w:firstLine="560"/>
              <w:jc w:val="both"/>
            </w:pPr>
            <w:r>
              <w:rPr>
                <w:rFonts w:ascii="仿宋_GB2312" w:hAnsi="仿宋_GB2312" w:cs="仿宋_GB2312" w:eastAsia="仿宋_GB2312"/>
                <w:sz w:val="28"/>
                <w:color w:val="040305"/>
              </w:rPr>
              <w:t>2.数据处理</w:t>
            </w:r>
          </w:p>
          <w:p>
            <w:pPr>
              <w:pStyle w:val="null3"/>
              <w:ind w:firstLine="560"/>
              <w:jc w:val="left"/>
            </w:pPr>
            <w:r>
              <w:rPr>
                <w:rFonts w:ascii="仿宋_GB2312" w:hAnsi="仿宋_GB2312" w:cs="仿宋_GB2312" w:eastAsia="仿宋_GB2312"/>
                <w:sz w:val="28"/>
              </w:rPr>
              <w:t>监测数据按照</w:t>
            </w:r>
            <w:r>
              <w:rPr>
                <w:rFonts w:ascii="仿宋_GB2312" w:hAnsi="仿宋_GB2312" w:cs="仿宋_GB2312" w:eastAsia="仿宋_GB2312"/>
                <w:sz w:val="28"/>
                <w:color w:val="040305"/>
              </w:rPr>
              <w:t>资源监测工作方案相关</w:t>
            </w:r>
            <w:r>
              <w:rPr>
                <w:rFonts w:ascii="仿宋_GB2312" w:hAnsi="仿宋_GB2312" w:cs="仿宋_GB2312" w:eastAsia="仿宋_GB2312"/>
                <w:sz w:val="28"/>
              </w:rPr>
              <w:t>要求进行记录，</w:t>
            </w:r>
            <w:r>
              <w:rPr>
                <w:rFonts w:ascii="仿宋_GB2312" w:hAnsi="仿宋_GB2312" w:cs="仿宋_GB2312" w:eastAsia="仿宋_GB2312"/>
                <w:sz w:val="28"/>
              </w:rPr>
              <w:t>监测工作完成后，进行数据</w:t>
            </w:r>
            <w:r>
              <w:rPr>
                <w:rFonts w:ascii="仿宋_GB2312" w:hAnsi="仿宋_GB2312" w:cs="仿宋_GB2312" w:eastAsia="仿宋_GB2312"/>
                <w:sz w:val="28"/>
              </w:rPr>
              <w:t>校对、</w:t>
            </w:r>
            <w:r>
              <w:rPr>
                <w:rFonts w:ascii="仿宋_GB2312" w:hAnsi="仿宋_GB2312" w:cs="仿宋_GB2312" w:eastAsia="仿宋_GB2312"/>
                <w:sz w:val="28"/>
              </w:rPr>
              <w:t>汇总，于</w:t>
            </w:r>
            <w:r>
              <w:rPr>
                <w:rFonts w:ascii="仿宋_GB2312" w:hAnsi="仿宋_GB2312" w:cs="仿宋_GB2312" w:eastAsia="仿宋_GB2312"/>
                <w:sz w:val="28"/>
              </w:rPr>
              <w:t>2025年12月20日</w:t>
            </w:r>
            <w:r>
              <w:rPr>
                <w:rFonts w:ascii="仿宋_GB2312" w:hAnsi="仿宋_GB2312" w:cs="仿宋_GB2312" w:eastAsia="仿宋_GB2312"/>
                <w:sz w:val="28"/>
              </w:rPr>
              <w:t>前</w:t>
            </w:r>
            <w:r>
              <w:rPr>
                <w:rFonts w:ascii="仿宋_GB2312" w:hAnsi="仿宋_GB2312" w:cs="仿宋_GB2312" w:eastAsia="仿宋_GB2312"/>
                <w:sz w:val="28"/>
              </w:rPr>
              <w:t>和</w:t>
            </w:r>
            <w:r>
              <w:rPr>
                <w:rFonts w:ascii="仿宋_GB2312" w:hAnsi="仿宋_GB2312" w:cs="仿宋_GB2312" w:eastAsia="仿宋_GB2312"/>
                <w:sz w:val="28"/>
              </w:rPr>
              <w:t>2026年8月31日前</w:t>
            </w:r>
            <w:r>
              <w:rPr>
                <w:rFonts w:ascii="仿宋_GB2312" w:hAnsi="仿宋_GB2312" w:cs="仿宋_GB2312" w:eastAsia="仿宋_GB2312"/>
                <w:sz w:val="28"/>
              </w:rPr>
              <w:t>分别</w:t>
            </w:r>
            <w:r>
              <w:rPr>
                <w:rFonts w:ascii="仿宋_GB2312" w:hAnsi="仿宋_GB2312" w:cs="仿宋_GB2312" w:eastAsia="仿宋_GB2312"/>
                <w:sz w:val="28"/>
              </w:rPr>
              <w:t>将</w:t>
            </w:r>
            <w:r>
              <w:rPr>
                <w:rFonts w:ascii="仿宋_GB2312" w:hAnsi="仿宋_GB2312" w:cs="仿宋_GB2312" w:eastAsia="仿宋_GB2312"/>
                <w:sz w:val="28"/>
              </w:rPr>
              <w:t>汉中市长江流域重点水域鱼类繁殖期和索饵期</w:t>
            </w:r>
            <w:r>
              <w:rPr>
                <w:rFonts w:ascii="仿宋_GB2312" w:hAnsi="仿宋_GB2312" w:cs="仿宋_GB2312" w:eastAsia="仿宋_GB2312"/>
                <w:sz w:val="28"/>
              </w:rPr>
              <w:t>的监测数据通过</w:t>
            </w:r>
            <w:r>
              <w:rPr>
                <w:rFonts w:ascii="仿宋_GB2312" w:hAnsi="仿宋_GB2312" w:cs="仿宋_GB2312" w:eastAsia="仿宋_GB2312"/>
                <w:sz w:val="28"/>
              </w:rPr>
              <w:t>数据汇交</w:t>
            </w:r>
            <w:r>
              <w:rPr>
                <w:rFonts w:ascii="仿宋_GB2312" w:hAnsi="仿宋_GB2312" w:cs="仿宋_GB2312" w:eastAsia="仿宋_GB2312"/>
                <w:sz w:val="28"/>
              </w:rPr>
              <w:t>平台进行上传。</w:t>
            </w:r>
          </w:p>
          <w:p>
            <w:pPr>
              <w:pStyle w:val="null3"/>
              <w:ind w:firstLine="560"/>
              <w:jc w:val="both"/>
            </w:pPr>
            <w:r>
              <w:rPr>
                <w:rFonts w:ascii="仿宋_GB2312" w:hAnsi="仿宋_GB2312" w:cs="仿宋_GB2312" w:eastAsia="仿宋_GB2312"/>
                <w:sz w:val="28"/>
                <w:color w:val="040305"/>
              </w:rPr>
              <w:t>3.项目资料提交</w:t>
            </w:r>
          </w:p>
          <w:p>
            <w:pPr>
              <w:pStyle w:val="null3"/>
              <w:ind w:firstLine="560"/>
              <w:jc w:val="both"/>
            </w:pPr>
            <w:r>
              <w:rPr>
                <w:rFonts w:ascii="仿宋_GB2312" w:hAnsi="仿宋_GB2312" w:cs="仿宋_GB2312" w:eastAsia="仿宋_GB2312"/>
                <w:sz w:val="28"/>
              </w:rPr>
              <w:t>项目承担单位汇总收集监测</w:t>
            </w:r>
            <w:r>
              <w:rPr>
                <w:rFonts w:ascii="仿宋_GB2312" w:hAnsi="仿宋_GB2312" w:cs="仿宋_GB2312" w:eastAsia="仿宋_GB2312"/>
                <w:sz w:val="28"/>
              </w:rPr>
              <w:t>的原始</w:t>
            </w:r>
            <w:r>
              <w:rPr>
                <w:rFonts w:ascii="仿宋_GB2312" w:hAnsi="仿宋_GB2312" w:cs="仿宋_GB2312" w:eastAsia="仿宋_GB2312"/>
                <w:sz w:val="28"/>
              </w:rPr>
              <w:t>记录资料</w:t>
            </w:r>
            <w:r>
              <w:rPr>
                <w:rFonts w:ascii="仿宋_GB2312" w:hAnsi="仿宋_GB2312" w:cs="仿宋_GB2312" w:eastAsia="仿宋_GB2312"/>
                <w:sz w:val="28"/>
              </w:rPr>
              <w:t>，包括但不限于现场调查生境照、工作照</w:t>
            </w:r>
            <w:r>
              <w:rPr>
                <w:rFonts w:ascii="仿宋_GB2312" w:hAnsi="仿宋_GB2312" w:cs="仿宋_GB2312" w:eastAsia="仿宋_GB2312"/>
                <w:sz w:val="28"/>
              </w:rPr>
              <w:t>、</w:t>
            </w:r>
            <w:r>
              <w:rPr>
                <w:rFonts w:ascii="仿宋_GB2312" w:hAnsi="仿宋_GB2312" w:cs="仿宋_GB2312" w:eastAsia="仿宋_GB2312"/>
                <w:sz w:val="28"/>
              </w:rPr>
              <w:t>渔获物</w:t>
            </w:r>
            <w:r>
              <w:rPr>
                <w:rFonts w:ascii="仿宋_GB2312" w:hAnsi="仿宋_GB2312" w:cs="仿宋_GB2312" w:eastAsia="仿宋_GB2312"/>
                <w:sz w:val="28"/>
              </w:rPr>
              <w:t>记录</w:t>
            </w:r>
            <w:r>
              <w:rPr>
                <w:rFonts w:ascii="仿宋_GB2312" w:hAnsi="仿宋_GB2312" w:cs="仿宋_GB2312" w:eastAsia="仿宋_GB2312"/>
                <w:sz w:val="28"/>
              </w:rPr>
              <w:t>、</w:t>
            </w:r>
            <w:r>
              <w:rPr>
                <w:rFonts w:ascii="仿宋_GB2312" w:hAnsi="仿宋_GB2312" w:cs="仿宋_GB2312" w:eastAsia="仿宋_GB2312"/>
                <w:sz w:val="28"/>
              </w:rPr>
              <w:t>水质检测报告、水生生物检测报告、</w:t>
            </w:r>
            <w:r>
              <w:rPr>
                <w:rFonts w:ascii="仿宋_GB2312" w:hAnsi="仿宋_GB2312" w:cs="仿宋_GB2312" w:eastAsia="仿宋_GB2312"/>
                <w:sz w:val="28"/>
              </w:rPr>
              <w:t>岸线硬化度以及连通性等各种记录表格。</w:t>
            </w:r>
            <w:r>
              <w:rPr>
                <w:rFonts w:ascii="仿宋_GB2312" w:hAnsi="仿宋_GB2312" w:cs="仿宋_GB2312" w:eastAsia="仿宋_GB2312"/>
                <w:sz w:val="28"/>
              </w:rPr>
              <w:t>并于</w:t>
            </w:r>
            <w:r>
              <w:rPr>
                <w:rFonts w:ascii="仿宋_GB2312" w:hAnsi="仿宋_GB2312" w:cs="仿宋_GB2312" w:eastAsia="仿宋_GB2312"/>
                <w:sz w:val="28"/>
              </w:rPr>
              <w:t>2026年8月31日前提交《年度汉中市长江流域重点水域水生生物资源监测报告》。</w:t>
            </w:r>
          </w:p>
          <w:p>
            <w:pPr>
              <w:pStyle w:val="null3"/>
              <w:ind w:firstLine="560"/>
              <w:jc w:val="both"/>
            </w:pPr>
            <w:r>
              <w:rPr>
                <w:rFonts w:ascii="仿宋_GB2312" w:hAnsi="仿宋_GB2312" w:cs="仿宋_GB2312" w:eastAsia="仿宋_GB2312"/>
                <w:sz w:val="28"/>
                <w:color w:val="040305"/>
              </w:rPr>
              <w:t>（五）项目实施时间</w:t>
            </w:r>
          </w:p>
          <w:p>
            <w:pPr>
              <w:pStyle w:val="null3"/>
              <w:ind w:firstLine="560"/>
              <w:jc w:val="both"/>
            </w:pPr>
            <w:r>
              <w:rPr>
                <w:rFonts w:ascii="仿宋_GB2312" w:hAnsi="仿宋_GB2312" w:cs="仿宋_GB2312" w:eastAsia="仿宋_GB2312"/>
                <w:sz w:val="28"/>
              </w:rPr>
              <w:t>水生生物资源监测工作分繁殖期（</w:t>
            </w:r>
            <w:r>
              <w:rPr>
                <w:rFonts w:ascii="仿宋_GB2312" w:hAnsi="仿宋_GB2312" w:cs="仿宋_GB2312" w:eastAsia="仿宋_GB2312"/>
                <w:sz w:val="28"/>
              </w:rPr>
              <w:t>4-7月）和索饵期（9-11月）2个周期开展，汉江三场一通道专项调查时间为全年。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依据最终签订合同内容执行。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完成索饵期监测工作</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完成所有数据及资料的提交，并验收合格后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乙方未全面履行合同义务或者发生违约，甲方有权终止合同，依法向乙方进行经济索赔，并报请政府采购监督管理机关依法进行相应的行政处罚。甲方违约的，应当赔偿给乙方造成的经济损失。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具有独立承担民事责任能力的法人、其他组织或自然人，并出具合法有效的营业执照或事业单位法人证书等国家规定的相关证明，自然人参与的提供其身份证明。(提供加盖投标供应商公章的营业执照复印件)；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法定代表人参加投标须提供《法定代表人身份证明》及身份证扫描件；法定代表人授权他人参加投标，须提供《法定代表人授权委托书》、委托代理人身份证扫描件；(提供加盖投标供应商公章的法定代表人身份证明原件和其身份证扫描件或法定代表人授权委托书原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 和社会保障资金的良好记录，以及参加本项目采购活动前三年内在经营活动中无重大违法活动记录， 供应商提供《汉中市政府采购供应商资格承诺函》。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响应文件的电子签章</w:t>
            </w:r>
          </w:p>
        </w:tc>
        <w:tc>
          <w:tcPr>
            <w:tcW w:type="dxa" w:w="3322"/>
          </w:tcPr>
          <w:p>
            <w:pPr>
              <w:pStyle w:val="null3"/>
            </w:pPr>
            <w:r>
              <w:rPr>
                <w:rFonts w:ascii="仿宋_GB2312" w:hAnsi="仿宋_GB2312" w:cs="仿宋_GB2312" w:eastAsia="仿宋_GB2312"/>
              </w:rPr>
              <w:t>响应文件按竞争性磋商文件要求进行电子签章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其他资料.docx 近年类似业绩一览表01.docx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响应文件内容及格式</w:t>
            </w:r>
          </w:p>
        </w:tc>
        <w:tc>
          <w:tcPr>
            <w:tcW w:type="dxa" w:w="3322"/>
          </w:tcPr>
          <w:p>
            <w:pPr>
              <w:pStyle w:val="null3"/>
            </w:pPr>
            <w:r>
              <w:rPr>
                <w:rFonts w:ascii="仿宋_GB2312" w:hAnsi="仿宋_GB2312" w:cs="仿宋_GB2312" w:eastAsia="仿宋_GB2312"/>
              </w:rPr>
              <w:t>符合竞争性磋商文件要求，响应文件内容齐全 、无遗漏</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其他资料.docx 近年类似业绩一览表01.docx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符合磋商文件的规定</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拟投入本项目人员配置情况表.docx 残疾人福利性单位声明函 服务方案 标的清单 其他资料.docx 近年类似业绩一览表01.docx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提供2022年1月1日以来类似项目的业绩，每个2分，满分4分。 注：近3年(2022年1月1日以来)，以合同协议书签订时间或中标通知书发放时间为准的业绩，需提供合同扫描件或中标通知书扫描件，并加盖供应商企业公章。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拟投入本项目人员</w:t>
            </w:r>
          </w:p>
        </w:tc>
        <w:tc>
          <w:tcPr>
            <w:tcW w:type="dxa" w:w="2492"/>
          </w:tcPr>
          <w:p>
            <w:pPr>
              <w:pStyle w:val="null3"/>
            </w:pPr>
            <w:r>
              <w:rPr>
                <w:rFonts w:ascii="仿宋_GB2312" w:hAnsi="仿宋_GB2312" w:cs="仿宋_GB2312" w:eastAsia="仿宋_GB2312"/>
              </w:rPr>
              <w:t>根据供应商提供的拟派项目实施服务人员情况进行评审，具备生态类或渔业资源类、水生生物类、环境科学类、渔业类、水产养殖类等相关专业的人员，每提供一个高级职称证书的得2分，每提供一个中级职称证书得1分，其他每个得0.5分。（提供相应证书证明复印件）本项最高得5分。 注：提供以上人员相关证明材料（身份证、职称证、以及在本单位缴纳的近六个月内任意一个月的社保缴纳记录）</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一、评审内容:针对本项目提供详细的项目服务方案包括但不限于①核心监测技术实施方案；②监测团队与资源保障方案；③监测成果交付与应用方案。 二、评审标准: 1、完整性:方案全面，对各方面内容中有详细描述; 2、合理性:方案实施步骤科学清晰、合理可行; 3、针对性:紧扣项目实际情况，能根据采购人的具体要求制定个性化方案。 三、赋分(满分36分) ①每满足一个评审标准，得4分，满分12分； ②每满足一个评审标准，得4分，满分12分； ③每满足一个评审标准，得4分，满分12分；</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保障方案及措施</w:t>
            </w:r>
          </w:p>
        </w:tc>
        <w:tc>
          <w:tcPr>
            <w:tcW w:type="dxa" w:w="2492"/>
          </w:tcPr>
          <w:p>
            <w:pPr>
              <w:pStyle w:val="null3"/>
            </w:pPr>
            <w:r>
              <w:rPr>
                <w:rFonts w:ascii="仿宋_GB2312" w:hAnsi="仿宋_GB2312" w:cs="仿宋_GB2312" w:eastAsia="仿宋_GB2312"/>
              </w:rPr>
              <w:t>一、评审内容：针对本项目提供详细完善的计划及保障方案及措施，包括但不限于①质量保障方案及措施；②进度保障方案及措施；③安全保障方案及措施等内容。 二、评审标准 1、完善性：方案必须全面，对评审内容中的各项要求有详细阐述； 2、可实施性：切合本项目实际情况，提出步骤清晰、合理的方案； 3、针对性：方案能够紧扣项目实际情况，内容科学合理。 三、赋分(满分15分) ①每满足一个评审标准，得2分，满分6分； ②每满足一个评审标准，得1.5分，满分4.5分； ③每满足一个评审标准，得1.5分，满分4.5分；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重难点分析及控制措施</w:t>
            </w:r>
          </w:p>
        </w:tc>
        <w:tc>
          <w:tcPr>
            <w:tcW w:type="dxa" w:w="2492"/>
          </w:tcPr>
          <w:p>
            <w:pPr>
              <w:pStyle w:val="null3"/>
            </w:pPr>
            <w:r>
              <w:rPr>
                <w:rFonts w:ascii="仿宋_GB2312" w:hAnsi="仿宋_GB2312" w:cs="仿宋_GB2312" w:eastAsia="仿宋_GB2312"/>
              </w:rPr>
              <w:t>一、评审内容：针对本项目提供详细完善的重难点分析及控制措施，包括但不限于①重难点分析准确；②控制措施科学合理；③预防机制完善。 二、评审标准 1、完善性：方案必须全面，对评审内容中的各项要求有详细阐述； 2、可实施性：切合本项目实际情况，提出步骤清晰、合理的方案； 3、针对性：方案能够紧扣项目实际情况，内容科学合理。 三、赋分(满分12分) ①每满足一个评审标准，得1.5分，满分4.5分； ②每满足一个评审标准，得1.5分，满分4.5分； ③每满足一个评审标准，得1分，满分3分；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一、评审内容：针对本项目提供详尽的应急预案，包含但不限于①应急响应时间；②应急处理程序；③应急保障措施。 二、评审标准 1、完善性：方案必须全面，对评审内容中的各项要求有详细阐述； 2、可实施性：切合本项目实际情况，提出步骤清晰、合理的方案； 3、针对性：方案能够紧扣项目实际情况，内容科学合理。 三、赋分(满分6分) ①每满足一个评审标准，得1分，满分3分； ②每满足一个评审标准，得0.5分，满分1.5分； ③每满足一个评审标准，得0.5分，满分1.5分；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针对本项目提供详尽的服务承诺，包含但不限于①服务质量目标、服务期限等；②有利于本项目实施的服务承诺；③合理化建议（技术优化、流程完善、成果延伸、风险规避等内容）。 二、评审标准 1、完善性：方案必须全面，对评审内容中的各项要求有详细阐述； 2、可实施性：切合本项目实际情况，提出步骤清晰、合理的方案； 3、针对性：方案能够紧扣项目实际情况，内容科学合理。 三、赋分(满分12分) ①每满足一个评审标准，得1分，满分3分； ②每满足一个评审标准，得1分，满分3分； ③每满足一个评审标准，得2分，满分6分；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本项目以满足竞争性磋商文件要求的有效供应商最低投标价格为评标基准价。其他投标供应商的价格分统一按照下列公式计算：投标报价得分=(评标基准价／投标报价)×价格权值（10%）×100（四舍五入后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详见附件：近年类似业绩一览表01.docx</w:t>
      </w:r>
    </w:p>
    <w:p>
      <w:pPr>
        <w:pStyle w:val="null3"/>
        <w:ind w:firstLine="960"/>
      </w:pPr>
      <w:r>
        <w:rPr>
          <w:rFonts w:ascii="仿宋_GB2312" w:hAnsi="仿宋_GB2312" w:cs="仿宋_GB2312" w:eastAsia="仿宋_GB2312"/>
        </w:rPr>
        <w:t>详见附件：拟投入本项目人员配置情况表.docx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