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版本号：BYTC2025CG04420250929001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编制《国家级羌族文化生态保护区（陕西）总体规划》（2026年-2040年）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BYTC2025CG044</w:t>
      </w:r>
      <w:r>
        <w:br/>
      </w:r>
      <w:r>
        <w:br/>
      </w:r>
      <w:r>
        <w:br/>
      </w:r>
    </w:p>
    <w:p>
      <w:pPr>
        <w:pStyle w:val="null3"/>
        <w:jc w:val="center"/>
        <w:outlineLvl w:val="2"/>
      </w:pPr>
      <w:r>
        <w:rPr>
          <w:rFonts w:ascii="仿宋_GB2312" w:hAnsi="仿宋_GB2312" w:cs="仿宋_GB2312" w:eastAsia="仿宋_GB2312"/>
          <w:sz w:val="28"/>
          <w:b/>
        </w:rPr>
        <w:t>汉中市龙岗和西汉三遗址文化旅游园区建设管理委员会办公室</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汉中市龙岗和西汉三遗址文化旅游园区建设管理委员会办公室</w:t>
      </w:r>
      <w:r>
        <w:rPr>
          <w:rFonts w:ascii="仿宋_GB2312" w:hAnsi="仿宋_GB2312" w:cs="仿宋_GB2312" w:eastAsia="仿宋_GB2312"/>
        </w:rPr>
        <w:t>委托，拟对</w:t>
      </w:r>
      <w:r>
        <w:rPr>
          <w:rFonts w:ascii="仿宋_GB2312" w:hAnsi="仿宋_GB2312" w:cs="仿宋_GB2312" w:eastAsia="仿宋_GB2312"/>
        </w:rPr>
        <w:t>编制《国家级羌族文化生态保护区（陕西）总体规划》（2026年-2040年）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编制《国家级羌族文化生态保护区（陕西）总体规划》（2026年-2040年）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2011年7月，原市文化广电新闻出版局、市非物质文化遗产保护中心，宁强县、略阳县人民政府共同编制了《国家级羌族文化生态保护实验区（陕西省汉中市宁强县、略阳县）总体规划》，规划期限为15年，即：2011年至2025年。今年年底规划即将到期，亟需编制新的总体规划，即编制《国家级羌族文化生态保护区（陕西）总体规划（2026年-2040年）》。 2、本项目采购单位为汉中市文化生态保护建设服务中心（按机构改革要求，原汉中市龙岗和西汉三遗址文化旅游园区建设管理委员会办公室更名为汉中市文化生态保护建设服务中心，平台变更手续正在办理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采购包1（编制《国家级羌族文化生态保护区（陕西）总体规划》（2026年-2040年））：属于专门面向中小企业采购。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3、财务状况报告、具有履行合同所必需的设备和专业技术能力的声明、税收缴纳证明 社会保障资金缴纳证明、无重大违法记录声明 ：提供“汉中市政府采购供应商资格承诺函”</w:t>
      </w:r>
    </w:p>
    <w:p>
      <w:pPr>
        <w:pStyle w:val="null3"/>
      </w:pPr>
      <w:r>
        <w:rPr>
          <w:rFonts w:ascii="仿宋_GB2312" w:hAnsi="仿宋_GB2312" w:cs="仿宋_GB2312" w:eastAsia="仿宋_GB2312"/>
        </w:rPr>
        <w:t>4、中小微企业或残疾人福利性单位声明，或监狱企业证明：本项目为专门面向中小企业采购项目，供应商应为中型、小型、微型企业或监狱企业或残疾人福利性单位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汉中市龙岗和西汉三遗址文化旅游园区建设管理委员会办公室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汉中市汉台区前进西路1567号汉中市文化和旅游局四楼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陕西省汉中市汉台区荔枝路祥瑞四季印象南侧智城雅居二楼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代理服务费收费标准：以成交金额为基数，按照中标金额的1.5%的标准收取,不足3000元的，按3000元计取。代理服务费由成交供应商向采购代理机构支付。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汉中市龙岗和西汉三遗址文化旅游园区建设管理委员会办公室</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汉中市龙岗和西汉三遗址文化旅游园区建设管理委员会办公室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汉中市龙岗和西汉三遗址文化旅游园区建设管理委员会办公室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1、乙方交付纸质版成果及电子版成果，数量以采购人实际要求为准。 2、乙方交付成果经省文化和旅游厅审核，并征求文化和旅游部非物质文化遗产司意见，报省人民政府审议通过后发布实施，并报文化和旅游部备案。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地址：陕西省汉中市汉台区荔枝路祥瑞四季印象南侧智城雅居二楼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2011年7月，原市文化广电新闻出版局、市非物质文化遗产保护中心，宁强县、略阳县人民政府共同编制了《国家级羌族文化生态保护实验区（陕西省汉中市宁强县、略阳县）总体规划》，规划期限为15年，即：2011年至2025年。今年年底规划即将到期，亟需编制新的总体规划，即编制《国家级羌族文化生态保护区（陕西）总体规划（2026年-2040年）》。 2、本项目采购单位为汉中市文化生态保护建设服务中心（按机构改革要求，原汉中市龙岗和西汉三遗址文化旅游园区建设管理委员会办公室更名为汉中市文化生态保护建设服务中心，平台变更手续正在办理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《国家级羌族文化生态保护区（陕西）总体规划》（2026年-2040年）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标的名称：《国家级羌族文化生态保护区（陕西）总体规划》（2026年-2040年）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完成《国家级羌族文化生态保护区（陕西）总体规划（2026年-2040年）》规划和编制，满足以下要求：</w:t>
            </w:r>
          </w:p>
          <w:p>
            <w:pPr>
              <w:pStyle w:val="null3"/>
            </w:pPr>
            <w:r>
              <w:rPr>
                <w:rFonts w:ascii="仿宋_GB2312" w:hAnsi="仿宋_GB2312" w:cs="仿宋_GB2312" w:eastAsia="仿宋_GB2312"/>
                <w:sz w:val="21"/>
              </w:rPr>
              <w:t>1、符合宏观羌族文化生态保护区（陕西）总体发展方向，目标明确、思路清晰,指导性、可操作性强。</w:t>
            </w:r>
          </w:p>
          <w:p>
            <w:pPr>
              <w:pStyle w:val="null3"/>
            </w:pPr>
            <w:r>
              <w:rPr>
                <w:rFonts w:ascii="仿宋_GB2312" w:hAnsi="仿宋_GB2312" w:cs="仿宋_GB2312" w:eastAsia="仿宋_GB2312"/>
                <w:sz w:val="21"/>
              </w:rPr>
              <w:t>2、符合宏观羌族文化生态保护发展方向，符合县域羌族文化发展实际。</w:t>
            </w:r>
          </w:p>
          <w:p>
            <w:pPr>
              <w:pStyle w:val="null3"/>
            </w:pPr>
            <w:r>
              <w:rPr>
                <w:rFonts w:ascii="仿宋_GB2312" w:hAnsi="仿宋_GB2312" w:cs="仿宋_GB2312" w:eastAsia="仿宋_GB2312"/>
                <w:sz w:val="21"/>
              </w:rPr>
              <w:t>3、编制《国家级羌族文化生态保护区（陕西）总体规划（2026年-2040年）》。</w:t>
            </w:r>
          </w:p>
          <w:p>
            <w:pPr>
              <w:pStyle w:val="null3"/>
            </w:pPr>
            <w:r>
              <w:rPr>
                <w:rFonts w:ascii="仿宋_GB2312" w:hAnsi="仿宋_GB2312" w:cs="仿宋_GB2312" w:eastAsia="仿宋_GB2312"/>
                <w:sz w:val="21"/>
              </w:rPr>
              <w:t>4、成果通过省文化和旅游厅审核，征求文化和旅游部非物质文化遗产司意见，报省人民政府审议通过后发布实施，并报文化和旅游部备案。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满足完成本项目履约需要。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满足完成本项目履约需要。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完成本项目所需的全部服务内容均包含在投标报价中。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A、合同签订后90日内，提交初步方案。 B、初步方案通过后90日内，提交初步成果。 C、2026年6月30日前完成全部履约事项。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汉中市及甲方指定地点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1、乙方交付纸质版成果及电子版成果，数量以采购人实际要求为准。 2、乙方交付成果经省文化和旅游厅审核，并征求文化和旅游部非物质文化遗产司意见，报省人民政府审议通过后发布实施，并报文化和旅游部备案。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合同签订，且乙方规划思路通过采购人审核后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乙方提交成果通过省文化和旅游厅审核，并征求文化和旅游部非物质文化遗产司意见后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乙方提交成果经省人民政府审议通过发布实施并报文化和旅游部备案后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在甲方所在地进行仲裁或诉讼。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合同履约过程中发生的专家评审、论证、报批程序所需费用均包含在投标报价中。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财务状况报告、具有履行合同所必需的设备和专业技术能力的声明、税收缴纳证明 社会保障资金缴纳证明、无重大违法记录声明</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中小微企业或残疾人福利性单位声明，或监狱企业证明</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投标文件格式、盖章、签署等符合性审查</w:t>
            </w:r>
          </w:p>
        </w:tc>
        <w:tc>
          <w:tcPr>
            <w:tcW w:type="dxa" w:w="3322"/>
          </w:tcPr>
          <w:p>
            <w:pPr>
              <w:pStyle w:val="null3"/>
            </w:pPr>
            <w:r>
              <w:rPr>
                <w:rFonts w:ascii="仿宋_GB2312" w:hAnsi="仿宋_GB2312" w:cs="仿宋_GB2312" w:eastAsia="仿宋_GB2312"/>
              </w:rPr>
              <w:t>投标文件格式、盖章、签署等符合招标文件要求，无重大缺漏项或重大负偏离</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技术评审—1、项目理解及解读</w:t>
            </w:r>
          </w:p>
        </w:tc>
        <w:tc>
          <w:tcPr>
            <w:tcW w:type="dxa" w:w="2492"/>
          </w:tcPr>
          <w:p>
            <w:pPr>
              <w:pStyle w:val="null3"/>
            </w:pPr>
            <w:r>
              <w:rPr>
                <w:rFonts w:ascii="仿宋_GB2312" w:hAnsi="仿宋_GB2312" w:cs="仿宋_GB2312" w:eastAsia="仿宋_GB2312"/>
              </w:rPr>
              <w:t>一、评审内容 针对本项目列明详细的项目理解及解读，内容包括： ①项目基本情况及相关政策解读②规划背景③专业资料的搜集与内容梳理④实地调研与考察方案⑤对项目发展现状认识等。 二、赋分标准 1、完整性：方案内容完整全面，对上述各项内容均有描述及说明，得10.0分；每缺1项，以10.0分为基础扣2.0分，扣完为止。 2、针对性：针对性强，得5.0分；针对性一般，得3.0分；缺乏针对性，得1.0分；未按要求进行响应的，得0分。 3、可实施性：可实施性强，得5.0分；可实施性一般，得3.0分；缺乏可实施性，得1.0分；未按要求进行响应的，得0分。可实施性一般，得3.0分；缺乏可实施性，得1.0分。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详细评审-1、项目理解及解读.docx</w:t>
            </w:r>
          </w:p>
        </w:tc>
      </w:tr>
      <w:tr>
        <w:tc>
          <w:tcPr>
            <w:tcW w:type="dxa" w:w="831"/>
            <w:vMerge/>
          </w:tcPr>
          <w:p/>
        </w:tc>
        <w:tc>
          <w:tcPr>
            <w:tcW w:type="dxa" w:w="1661"/>
          </w:tcPr>
          <w:p>
            <w:pPr>
              <w:pStyle w:val="null3"/>
            </w:pPr>
            <w:r>
              <w:rPr>
                <w:rFonts w:ascii="仿宋_GB2312" w:hAnsi="仿宋_GB2312" w:cs="仿宋_GB2312" w:eastAsia="仿宋_GB2312"/>
              </w:rPr>
              <w:t>技术评审—2、项目规划思路</w:t>
            </w:r>
          </w:p>
        </w:tc>
        <w:tc>
          <w:tcPr>
            <w:tcW w:type="dxa" w:w="2492"/>
          </w:tcPr>
          <w:p>
            <w:pPr>
              <w:pStyle w:val="null3"/>
            </w:pPr>
            <w:r>
              <w:rPr>
                <w:rFonts w:ascii="仿宋_GB2312" w:hAnsi="仿宋_GB2312" w:cs="仿宋_GB2312" w:eastAsia="仿宋_GB2312"/>
              </w:rPr>
              <w:t>一、评审内容 针对本项目列明详细的项目规划思路，内容包括：①规划思路、规划理念及目标； ②初步规划方案 二、赋分标准 1、完整性：方案内容完整全面，对上述各项内容均有描述及说明，得10.0分；每缺1项，以10.0分为基础扣5.0分，扣完为止。 2、针对性：针对性强，得5.0分；针对性一般，得3.0分；缺乏针对性，得1.0分；未按要求进行响应的，得0分。 3、可实施性：可实施性强，得5.0分；可实施性一般，得3.0分；缺乏可实施性，得1.0分；未按要求进行响应的，得0分。可实施性一般，得3.0分；缺乏可实施性，得1.0分。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详细评审-2、项目规划思路.docx</w:t>
            </w:r>
          </w:p>
        </w:tc>
      </w:tr>
      <w:tr>
        <w:tc>
          <w:tcPr>
            <w:tcW w:type="dxa" w:w="831"/>
            <w:vMerge/>
          </w:tcPr>
          <w:p/>
        </w:tc>
        <w:tc>
          <w:tcPr>
            <w:tcW w:type="dxa" w:w="1661"/>
          </w:tcPr>
          <w:p>
            <w:pPr>
              <w:pStyle w:val="null3"/>
            </w:pPr>
            <w:r>
              <w:rPr>
                <w:rFonts w:ascii="仿宋_GB2312" w:hAnsi="仿宋_GB2312" w:cs="仿宋_GB2312" w:eastAsia="仿宋_GB2312"/>
              </w:rPr>
              <w:t>技术评审—3、服务（工作）质量保障措施</w:t>
            </w:r>
          </w:p>
        </w:tc>
        <w:tc>
          <w:tcPr>
            <w:tcW w:type="dxa" w:w="2492"/>
          </w:tcPr>
          <w:p>
            <w:pPr>
              <w:pStyle w:val="null3"/>
            </w:pPr>
            <w:r>
              <w:rPr>
                <w:rFonts w:ascii="仿宋_GB2312" w:hAnsi="仿宋_GB2312" w:cs="仿宋_GB2312" w:eastAsia="仿宋_GB2312"/>
              </w:rPr>
              <w:t>一、评审内容 针对本项目列明详细的服务（工作）质量保障方案，内容包括：①工作方法②工作质量保障方案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详细评审-3、服务（工作）质量保障措施.docx</w:t>
            </w:r>
          </w:p>
        </w:tc>
      </w:tr>
      <w:tr>
        <w:tc>
          <w:tcPr>
            <w:tcW w:type="dxa" w:w="831"/>
            <w:vMerge/>
          </w:tcPr>
          <w:p/>
        </w:tc>
        <w:tc>
          <w:tcPr>
            <w:tcW w:type="dxa" w:w="1661"/>
          </w:tcPr>
          <w:p>
            <w:pPr>
              <w:pStyle w:val="null3"/>
            </w:pPr>
            <w:r>
              <w:rPr>
                <w:rFonts w:ascii="仿宋_GB2312" w:hAnsi="仿宋_GB2312" w:cs="仿宋_GB2312" w:eastAsia="仿宋_GB2312"/>
              </w:rPr>
              <w:t>技术评审—4、工期进度保障方案</w:t>
            </w:r>
          </w:p>
        </w:tc>
        <w:tc>
          <w:tcPr>
            <w:tcW w:type="dxa" w:w="2492"/>
          </w:tcPr>
          <w:p>
            <w:pPr>
              <w:pStyle w:val="null3"/>
            </w:pPr>
            <w:r>
              <w:rPr>
                <w:rFonts w:ascii="仿宋_GB2312" w:hAnsi="仿宋_GB2312" w:cs="仿宋_GB2312" w:eastAsia="仿宋_GB2312"/>
              </w:rPr>
              <w:t>一、评审内容 针对本项目提供工期进度保障方案，内容包括： ①成合同签订至成果交付全过程的进度安排 ； ② 按期完工的具体保障措施 ；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详细评审-4、工期进度保障方案.docx</w:t>
            </w:r>
          </w:p>
        </w:tc>
      </w:tr>
      <w:tr>
        <w:tc>
          <w:tcPr>
            <w:tcW w:type="dxa" w:w="831"/>
            <w:vMerge/>
          </w:tcPr>
          <w:p/>
        </w:tc>
        <w:tc>
          <w:tcPr>
            <w:tcW w:type="dxa" w:w="1661"/>
          </w:tcPr>
          <w:p>
            <w:pPr>
              <w:pStyle w:val="null3"/>
            </w:pPr>
            <w:r>
              <w:rPr>
                <w:rFonts w:ascii="仿宋_GB2312" w:hAnsi="仿宋_GB2312" w:cs="仿宋_GB2312" w:eastAsia="仿宋_GB2312"/>
              </w:rPr>
              <w:t>技术评审—5、重点难点分析及解决方案</w:t>
            </w:r>
          </w:p>
        </w:tc>
        <w:tc>
          <w:tcPr>
            <w:tcW w:type="dxa" w:w="2492"/>
          </w:tcPr>
          <w:p>
            <w:pPr>
              <w:pStyle w:val="null3"/>
            </w:pPr>
            <w:r>
              <w:rPr>
                <w:rFonts w:ascii="仿宋_GB2312" w:hAnsi="仿宋_GB2312" w:cs="仿宋_GB2312" w:eastAsia="仿宋_GB2312"/>
              </w:rPr>
              <w:t>一、评审内容 针对本项目全部履约内容，编制重点难点分析及解决方案，内容包括： ①重点难点分析；②重点难点解决方案； 二、赋分标准 1、完整性：方案内容完整全面，对上述各项内容均有描述及说明，得3.0分；每缺1项，以3.0分为基础扣1.5分，扣完为止。 2、针对性：针对性强，得3.0分；针对性一般，得2.0分；缺乏针对性，得1.0分；未按要求进行响应的，得0分。 3、可实施性：可实施性强，得4.0分；可实施性 ，得3.0分；缺乏可实施性，得1.0分；未按要求进行响应的，得0分。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详细评审-5、重点难点分析及解决方案.docx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商务评审—1、业绩</w:t>
            </w:r>
          </w:p>
        </w:tc>
        <w:tc>
          <w:tcPr>
            <w:tcW w:type="dxa" w:w="2492"/>
          </w:tcPr>
          <w:p>
            <w:pPr>
              <w:pStyle w:val="null3"/>
            </w:pPr>
            <w:r>
              <w:rPr>
                <w:rFonts w:ascii="仿宋_GB2312" w:hAnsi="仿宋_GB2312" w:cs="仿宋_GB2312" w:eastAsia="仿宋_GB2312"/>
              </w:rPr>
              <w:t>投标人提供2022年1月1日以来完成过类似项目合同，每提供一份得2.5分，最高得5.0分； 注：类似项目指包含文化类、旅游类、宣传类项目的规划/策划/推广相关服务，投标文件中提供合同复印件并加盖单位公章。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详细评审-6、业绩.docx</w:t>
            </w:r>
          </w:p>
        </w:tc>
      </w:tr>
      <w:tr>
        <w:tc>
          <w:tcPr>
            <w:tcW w:type="dxa" w:w="831"/>
            <w:vMerge/>
          </w:tcPr>
          <w:p/>
        </w:tc>
        <w:tc>
          <w:tcPr>
            <w:tcW w:type="dxa" w:w="1661"/>
          </w:tcPr>
          <w:p>
            <w:pPr>
              <w:pStyle w:val="null3"/>
            </w:pPr>
            <w:r>
              <w:rPr>
                <w:rFonts w:ascii="仿宋_GB2312" w:hAnsi="仿宋_GB2312" w:cs="仿宋_GB2312" w:eastAsia="仿宋_GB2312"/>
              </w:rPr>
              <w:t>商务评审—2、人员</w:t>
            </w:r>
          </w:p>
        </w:tc>
        <w:tc>
          <w:tcPr>
            <w:tcW w:type="dxa" w:w="2492"/>
          </w:tcPr>
          <w:p>
            <w:pPr>
              <w:pStyle w:val="null3"/>
            </w:pPr>
            <w:r>
              <w:rPr>
                <w:rFonts w:ascii="仿宋_GB2312" w:hAnsi="仿宋_GB2312" w:cs="仿宋_GB2312" w:eastAsia="仿宋_GB2312"/>
              </w:rPr>
              <w:t>投标人本项目配备技术人员应具备相关技术能力，其中：每有1人具备中级职业技能等级认证或中级资格证书得1.5分;每有1人具备高级职业技能等级认证或高级资格证书得3.0分;最高得6.0分； 注：投标文件中提供证明材料复印件并加盖单位公章，同一人提供多个证书的，不得重复赋分。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详细评审-7、人员.docx</w:t>
            </w:r>
          </w:p>
        </w:tc>
      </w:tr>
      <w:tr>
        <w:tc>
          <w:tcPr>
            <w:tcW w:type="dxa" w:w="831"/>
            <w:vMerge/>
          </w:tcPr>
          <w:p/>
        </w:tc>
        <w:tc>
          <w:tcPr>
            <w:tcW w:type="dxa" w:w="1661"/>
          </w:tcPr>
          <w:p>
            <w:pPr>
              <w:pStyle w:val="null3"/>
            </w:pPr>
            <w:r>
              <w:rPr>
                <w:rFonts w:ascii="仿宋_GB2312" w:hAnsi="仿宋_GB2312" w:cs="仿宋_GB2312" w:eastAsia="仿宋_GB2312"/>
              </w:rPr>
              <w:t>商务评审—3、服务承诺</w:t>
            </w:r>
          </w:p>
        </w:tc>
        <w:tc>
          <w:tcPr>
            <w:tcW w:type="dxa" w:w="2492"/>
          </w:tcPr>
          <w:p>
            <w:pPr>
              <w:pStyle w:val="null3"/>
            </w:pPr>
            <w:r>
              <w:rPr>
                <w:rFonts w:ascii="仿宋_GB2312" w:hAnsi="仿宋_GB2312" w:cs="仿宋_GB2312" w:eastAsia="仿宋_GB2312"/>
              </w:rPr>
              <w:t>投标人针对本项目采购需求及履约要求，自拟格式内容出具服务承诺，承诺内容至少需包含：①接受采购人对本项目服务的考核、监督及管理；②无条件同意按采购人意见对最终成果进行修改完善；③保证最终成果通过审批及备案。 投标人服务承诺内容满足要求得 9.0 分；每缺1项，以9.0分为基础扣3.0分，扣完为止。 注：投标文件中自拟格式内容提供承诺（承诺内容需满足评分标准要求）并加盖单位公章。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详细评审-8、服务承诺.docx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详见附件：详细评审-1、项目理解及解读.docx</w:t>
      </w:r>
    </w:p>
    <w:p>
      <w:pPr>
        <w:pStyle w:val="null3"/>
        <w:ind w:firstLine="960"/>
      </w:pPr>
      <w:r>
        <w:rPr>
          <w:rFonts w:ascii="仿宋_GB2312" w:hAnsi="仿宋_GB2312" w:cs="仿宋_GB2312" w:eastAsia="仿宋_GB2312"/>
        </w:rPr>
        <w:t>详见附件：详细评审-2、项目规划思路.docx</w:t>
      </w:r>
    </w:p>
    <w:p>
      <w:pPr>
        <w:pStyle w:val="null3"/>
        <w:ind w:firstLine="960"/>
      </w:pPr>
      <w:r>
        <w:rPr>
          <w:rFonts w:ascii="仿宋_GB2312" w:hAnsi="仿宋_GB2312" w:cs="仿宋_GB2312" w:eastAsia="仿宋_GB2312"/>
        </w:rPr>
        <w:t>详见附件：详细评审-3、服务（工作）质量保障措施.docx</w:t>
      </w:r>
    </w:p>
    <w:p>
      <w:pPr>
        <w:pStyle w:val="null3"/>
        <w:ind w:firstLine="960"/>
      </w:pPr>
      <w:r>
        <w:rPr>
          <w:rFonts w:ascii="仿宋_GB2312" w:hAnsi="仿宋_GB2312" w:cs="仿宋_GB2312" w:eastAsia="仿宋_GB2312"/>
        </w:rPr>
        <w:t>详见附件：详细评审-4、工期进度保障方案.docx</w:t>
      </w:r>
    </w:p>
    <w:p>
      <w:pPr>
        <w:pStyle w:val="null3"/>
        <w:ind w:firstLine="960"/>
      </w:pPr>
      <w:r>
        <w:rPr>
          <w:rFonts w:ascii="仿宋_GB2312" w:hAnsi="仿宋_GB2312" w:cs="仿宋_GB2312" w:eastAsia="仿宋_GB2312"/>
        </w:rPr>
        <w:t>详见附件：详细评审-5、重点难点分析及解决方案.docx</w:t>
      </w:r>
    </w:p>
    <w:p>
      <w:pPr>
        <w:pStyle w:val="null3"/>
        <w:ind w:firstLine="960"/>
      </w:pPr>
      <w:r>
        <w:rPr>
          <w:rFonts w:ascii="仿宋_GB2312" w:hAnsi="仿宋_GB2312" w:cs="仿宋_GB2312" w:eastAsia="仿宋_GB2312"/>
        </w:rPr>
        <w:t>详见附件：详细评审-6、业绩.docx</w:t>
      </w:r>
    </w:p>
    <w:p>
      <w:pPr>
        <w:pStyle w:val="null3"/>
        <w:ind w:firstLine="960"/>
      </w:pPr>
      <w:r>
        <w:rPr>
          <w:rFonts w:ascii="仿宋_GB2312" w:hAnsi="仿宋_GB2312" w:cs="仿宋_GB2312" w:eastAsia="仿宋_GB2312"/>
        </w:rPr>
        <w:t>详见附件：详细评审-7、人员.docx</w:t>
      </w:r>
    </w:p>
    <w:p>
      <w:pPr>
        <w:pStyle w:val="null3"/>
        <w:ind w:firstLine="960"/>
      </w:pPr>
      <w:r>
        <w:rPr>
          <w:rFonts w:ascii="仿宋_GB2312" w:hAnsi="仿宋_GB2312" w:cs="仿宋_GB2312" w:eastAsia="仿宋_GB2312"/>
        </w:rPr>
        <w:t>详见附件：详细评审-8、服务承诺.docx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