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版本号：YZZB-2025013920250926001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《“十五五”文化发展改革规划》编制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YZZB-20250139</w:t>
      </w:r>
      <w:r>
        <w:br/>
      </w:r>
      <w:r>
        <w:br/>
      </w:r>
      <w:r>
        <w:br/>
      </w:r>
    </w:p>
    <w:p>
      <w:pPr>
        <w:pStyle w:val="null3"/>
        <w:jc w:val="center"/>
        <w:outlineLvl w:val="2"/>
      </w:pPr>
      <w:r>
        <w:rPr>
          <w:rFonts w:ascii="仿宋_GB2312" w:hAnsi="仿宋_GB2312" w:cs="仿宋_GB2312" w:eastAsia="仿宋_GB2312"/>
          <w:sz w:val="28"/>
          <w:b/>
        </w:rPr>
        <w:t>中共汉中市委宣传部</w:t>
      </w:r>
    </w:p>
    <w:p>
      <w:pPr>
        <w:pStyle w:val="null3"/>
        <w:jc w:val="center"/>
        <w:outlineLvl w:val="2"/>
      </w:pPr>
      <w:r>
        <w:rPr>
          <w:rFonts w:ascii="仿宋_GB2312" w:hAnsi="仿宋_GB2312" w:cs="仿宋_GB2312" w:eastAsia="仿宋_GB2312"/>
          <w:sz w:val="28"/>
          <w:b/>
        </w:rPr>
        <w:t>陕西银正项目管理有限公司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陕西银正项目管理有限公司</w:t>
      </w:r>
      <w:r>
        <w:rPr>
          <w:rFonts w:ascii="仿宋_GB2312" w:hAnsi="仿宋_GB2312" w:cs="仿宋_GB2312" w:eastAsia="仿宋_GB2312"/>
        </w:rPr>
        <w:t>（以下简称“代理机构”）受</w:t>
      </w:r>
      <w:r>
        <w:rPr>
          <w:rFonts w:ascii="仿宋_GB2312" w:hAnsi="仿宋_GB2312" w:cs="仿宋_GB2312" w:eastAsia="仿宋_GB2312"/>
        </w:rPr>
        <w:t>中共汉中市委宣传部</w:t>
      </w:r>
      <w:r>
        <w:rPr>
          <w:rFonts w:ascii="仿宋_GB2312" w:hAnsi="仿宋_GB2312" w:cs="仿宋_GB2312" w:eastAsia="仿宋_GB2312"/>
        </w:rPr>
        <w:t>委托，拟对</w:t>
      </w:r>
      <w:r>
        <w:rPr>
          <w:rFonts w:ascii="仿宋_GB2312" w:hAnsi="仿宋_GB2312" w:cs="仿宋_GB2312" w:eastAsia="仿宋_GB2312"/>
        </w:rPr>
        <w:t>《“十五五”文化发展改革规划》编制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YZZB-20250139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《“十五五”文化发展改革规划》编制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面总结评估汉中市“十四五”文化产业发展规划实施情况；深入分析汉中市“十五五”时期文化发展改革形势以及面临的机遇和挑战，立足经济发展新常态，研究提出汉中市“十五五”时期文化发展改革的指导思想、基本原则、战略定位、空间布局、发展目标、指标体系、重大项目、重点任务、保障措施等主要内容。精心谋划提出一批具有全局性、战略性的重大项目、重大政策。（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采购包1（《“十五五”文化发展改革规划》编制）：属于专门面向中小企业采购。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书或授权委托书：供应商应授权合法的人员参加磋商全过程，其中法定代表人直接参加磋商的，须出具法定代表人身份证明，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中共汉中市委宣传部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0916-2639515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陕西银正项目管理有限公司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陕西省西安市未央区西安市经济技术开发区凤城二路海荣翡翠国际城1幢12306号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李白茹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18302989305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代理服务费参照《国家计委关于印发&lt;招标代理服务收费管理暂行办法&gt;的通知》(计价格〔2002〕1980号)、《国家发展改革委员会办公厅关于招标代理服务收费有关问题的通知》（发改办价格〔2003〕857号）以及《国家发展改革委关于降低部分建设项目收费标准规范收费行为等有关问题的通知》(发改价格〔2011〕534号)文件标准计取。 户名：陕西银正项目管理有限公司 开户行：中国工商银行股份有限公司西安凤城七路支行 账号：3700085109100068236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中共汉中市委宣传部</w:t>
      </w:r>
      <w:r>
        <w:rPr>
          <w:rFonts w:ascii="仿宋_GB2312" w:hAnsi="仿宋_GB2312" w:cs="仿宋_GB2312" w:eastAsia="仿宋_GB2312"/>
        </w:rPr>
        <w:t>和</w:t>
      </w:r>
      <w:r>
        <w:rPr>
          <w:rFonts w:ascii="仿宋_GB2312" w:hAnsi="仿宋_GB2312" w:cs="仿宋_GB2312" w:eastAsia="仿宋_GB2312"/>
        </w:rPr>
        <w:t>陕西银正项目管理有限公司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中共汉中市委宣传部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陕西银正项目管理有限公司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中共汉中市委宣传部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陕西银正项目管理有限公司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1.合同文本及合同补充文件（条款）；2.竞争性磋商文件；3.竞争性磋商响应文件；4.澄清表（函）；5.国家相应的标准、规范。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陕西银正项目管理有限公司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陕西银正项目管理有限公司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陕西银正项目管理有限公司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联系人：李白茹</w:t>
      </w:r>
    </w:p>
    <w:p>
      <w:pPr>
        <w:pStyle w:val="null3"/>
      </w:pPr>
      <w:r>
        <w:rPr>
          <w:rFonts w:ascii="仿宋_GB2312" w:hAnsi="仿宋_GB2312" w:cs="仿宋_GB2312" w:eastAsia="仿宋_GB2312"/>
        </w:rPr>
        <w:t>联系电话：18302989305</w:t>
      </w:r>
    </w:p>
    <w:p>
      <w:pPr>
        <w:pStyle w:val="null3"/>
      </w:pPr>
      <w:r>
        <w:rPr>
          <w:rFonts w:ascii="仿宋_GB2312" w:hAnsi="仿宋_GB2312" w:cs="仿宋_GB2312" w:eastAsia="仿宋_GB2312"/>
        </w:rPr>
        <w:t>地址：陕西省西安市未央区西安市经济技术开发区凤城二路海荣翡翠国际城1幢12306号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总结评估汉中市“十四五”文化产业发展规划实施情况；深入分析汉中市“十五五”时期文化发展改革形势以及面临的机遇和挑战，立足经济发展新常态，研究提出汉中市“十五五”时期文化发展改革的指导思想、基本原则、战略定位、空间布局、发展目标、指标体系、重大项目、重点任务、保障措施等主要内容。精心谋划提出一批具有全局性、战略性的重大项目、重大政策。（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文化发展改革规划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标的名称：文化发展改革规划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一、项目概况</w:t>
            </w:r>
          </w:p>
          <w:p>
            <w:pPr>
              <w:pStyle w:val="null3"/>
              <w:jc w:val="both"/>
            </w:pPr>
            <w:r>
              <w:rPr>
                <w:rFonts w:ascii="仿宋_GB2312" w:hAnsi="仿宋_GB2312" w:cs="仿宋_GB2312" w:eastAsia="仿宋_GB2312"/>
              </w:rPr>
              <w:t>全面总结评估汉中市“十四五”文化产业发展规划实施情况；深入分析汉中市“十五五”时期文化发展改革形势以及面临的机遇和挑战，立足经济发展新常态，研究提出汉中市“十五五”时期文化发展改革的指导思想、基本原则、战略定位、空间布局、发展目标、指标体系、重大项目、重点任务、保障措施等主要内容。精心谋划提出一批具有全局性、战略性的重大项目、重大政策。</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一）开展汉中市“十五五”文化产业发展规划基本思路研究。梳理汉中市“十四五”文化产业发展规划任务完成情况，总结规划落实效果，查找短板不足和深层次问题，分析国内国际形势和经济社会发展条件，预判“十五五”时期文化产业发展环境，提出基本思路，明确相关发展指标、战略任务和改革举措。</w:t>
            </w:r>
          </w:p>
          <w:p>
            <w:pPr>
              <w:pStyle w:val="null3"/>
              <w:jc w:val="both"/>
            </w:pPr>
            <w:r>
              <w:rPr>
                <w:rFonts w:ascii="仿宋_GB2312" w:hAnsi="仿宋_GB2312" w:cs="仿宋_GB2312" w:eastAsia="仿宋_GB2312"/>
              </w:rPr>
              <w:t>（二）编制汉中市“十五五”文化产业发展规划。规划主要内容包括规划背景和发展环境、总体思路和发展指标，明确重点任务、改革举措、重大项目和保障措施。</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三、服务要求</w:t>
            </w:r>
          </w:p>
          <w:p>
            <w:pPr>
              <w:pStyle w:val="null3"/>
              <w:jc w:val="both"/>
            </w:pPr>
            <w:r>
              <w:rPr>
                <w:rFonts w:ascii="仿宋_GB2312" w:hAnsi="仿宋_GB2312" w:cs="仿宋_GB2312" w:eastAsia="仿宋_GB2312"/>
              </w:rPr>
              <w:t xml:space="preserve"> （一）深入贯彻关于文化产业工作的重大决策部署，立足实际，创新形式，分析“十五五”汉中市文化产业发展面临的形势任务，提出具有可行性和操作性的政策建议。</w:t>
            </w:r>
          </w:p>
          <w:p>
            <w:pPr>
              <w:pStyle w:val="null3"/>
              <w:jc w:val="both"/>
            </w:pPr>
            <w:r>
              <w:rPr>
                <w:rFonts w:ascii="仿宋_GB2312" w:hAnsi="仿宋_GB2312" w:cs="仿宋_GB2312" w:eastAsia="仿宋_GB2312"/>
              </w:rPr>
              <w:t>（二）研究应具备坚实的调研基础，深入基层开展调查，召开座谈会，选取部分区县开展重点调研，听取各级文化产业部门和相关专家意见。</w:t>
            </w:r>
          </w:p>
          <w:p>
            <w:pPr>
              <w:pStyle w:val="null3"/>
              <w:jc w:val="both"/>
            </w:pPr>
            <w:r>
              <w:rPr>
                <w:rFonts w:ascii="仿宋_GB2312" w:hAnsi="仿宋_GB2312" w:cs="仿宋_GB2312" w:eastAsia="仿宋_GB2312"/>
              </w:rPr>
              <w:t>（三）研究报告要观点明确、结构清晰、内容详实，有前瞻性、预判性，所提政策举措要具有可操作性，为政策制定实施提供重要支撑。</w:t>
            </w:r>
          </w:p>
          <w:p>
            <w:pPr>
              <w:pStyle w:val="null3"/>
              <w:jc w:val="both"/>
            </w:pPr>
            <w:r>
              <w:rPr>
                <w:rFonts w:ascii="仿宋_GB2312" w:hAnsi="仿宋_GB2312" w:cs="仿宋_GB2312" w:eastAsia="仿宋_GB2312"/>
              </w:rPr>
              <w:t>（四）项目负责人应在相关研究领域具有较高的学术造诣和政治素养，具备较强的组织协调和指导能力，全过程参与委托课题研究。研究人员要具备较高的政治素质、理论素养、业务素质，在文化产业领域政策研究上具有较强的研究经验和研究能力，能够承担实质性研究工作。</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四、商务要求</w:t>
            </w:r>
          </w:p>
          <w:p>
            <w:pPr>
              <w:pStyle w:val="null3"/>
              <w:jc w:val="both"/>
            </w:pPr>
            <w:r>
              <w:rPr>
                <w:rFonts w:ascii="仿宋_GB2312" w:hAnsi="仿宋_GB2312" w:cs="仿宋_GB2312" w:eastAsia="仿宋_GB2312"/>
              </w:rPr>
              <w:t>（一）服务期限：自合同签订之日起至2026年8月。</w:t>
            </w:r>
          </w:p>
          <w:p>
            <w:pPr>
              <w:pStyle w:val="null3"/>
              <w:jc w:val="both"/>
            </w:pPr>
            <w:r>
              <w:rPr>
                <w:rFonts w:ascii="仿宋_GB2312" w:hAnsi="仿宋_GB2312" w:cs="仿宋_GB2312" w:eastAsia="仿宋_GB2312"/>
              </w:rPr>
              <w:t>（二）款项结算</w:t>
            </w:r>
          </w:p>
          <w:p>
            <w:pPr>
              <w:pStyle w:val="null3"/>
              <w:jc w:val="both"/>
            </w:pPr>
            <w:r>
              <w:rPr>
                <w:rFonts w:ascii="仿宋_GB2312" w:hAnsi="仿宋_GB2312" w:cs="仿宋_GB2312" w:eastAsia="仿宋_GB2312"/>
              </w:rPr>
              <w:t>1.付款条件说明：合同签订后15日内，采购人向成交单位支付合同总价款的百分之九十（90%）；</w:t>
            </w:r>
          </w:p>
          <w:p>
            <w:pPr>
              <w:pStyle w:val="null3"/>
              <w:jc w:val="both"/>
            </w:pPr>
            <w:r>
              <w:rPr>
                <w:rFonts w:ascii="仿宋_GB2312" w:hAnsi="仿宋_GB2312" w:cs="仿宋_GB2312" w:eastAsia="仿宋_GB2312"/>
              </w:rPr>
              <w:t>2.付款条件说明：完成服务内容，项目验收合格后15日内，采购人向成交单位支付合同总价款的百分之十（10%）。</w:t>
            </w:r>
          </w:p>
          <w:p>
            <w:pPr>
              <w:pStyle w:val="null3"/>
              <w:jc w:val="both"/>
            </w:pPr>
            <w:r>
              <w:rPr>
                <w:rFonts w:ascii="仿宋_GB2312" w:hAnsi="仿宋_GB2312" w:cs="仿宋_GB2312" w:eastAsia="仿宋_GB2312"/>
              </w:rPr>
              <w:t>注：每次付款前乙方需提供相关发票。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五、其他</w:t>
            </w:r>
          </w:p>
          <w:p>
            <w:pPr>
              <w:pStyle w:val="null3"/>
              <w:jc w:val="both"/>
            </w:pPr>
            <w:r>
              <w:rPr>
                <w:rFonts w:ascii="仿宋_GB2312" w:hAnsi="仿宋_GB2312" w:cs="仿宋_GB2312" w:eastAsia="仿宋_GB2312"/>
              </w:rPr>
              <w:t>（一）进度要求</w:t>
            </w:r>
          </w:p>
          <w:p>
            <w:pPr>
              <w:pStyle w:val="null3"/>
              <w:jc w:val="both"/>
            </w:pPr>
            <w:r>
              <w:rPr>
                <w:rFonts w:ascii="仿宋_GB2312" w:hAnsi="仿宋_GB2312" w:cs="仿宋_GB2312" w:eastAsia="仿宋_GB2312"/>
              </w:rPr>
              <w:t>按照采购人约定的项目完成时间，成交单位必须出具完整、准确，并符合采购人需求的评估报告。</w:t>
            </w:r>
          </w:p>
          <w:p>
            <w:pPr>
              <w:pStyle w:val="null3"/>
              <w:jc w:val="both"/>
            </w:pPr>
            <w:r>
              <w:rPr>
                <w:rFonts w:ascii="仿宋_GB2312" w:hAnsi="仿宋_GB2312" w:cs="仿宋_GB2312" w:eastAsia="仿宋_GB2312"/>
              </w:rPr>
              <w:t>（二）成果交付要求</w:t>
            </w:r>
          </w:p>
          <w:p>
            <w:pPr>
              <w:pStyle w:val="null3"/>
              <w:jc w:val="both"/>
            </w:pPr>
            <w:r>
              <w:rPr>
                <w:rFonts w:ascii="仿宋_GB2312" w:hAnsi="仿宋_GB2312" w:cs="仿宋_GB2312" w:eastAsia="仿宋_GB2312"/>
              </w:rPr>
              <w:t>成交单位出具的最终评估报告必须符合采购人需求，如出具的最终评估报告不符合采购人需求，成交单位必须立即修改完善，直到符合采购人的需求。</w:t>
            </w:r>
          </w:p>
          <w:p>
            <w:pPr>
              <w:pStyle w:val="null3"/>
              <w:jc w:val="both"/>
            </w:pPr>
            <w:r>
              <w:rPr>
                <w:rFonts w:ascii="仿宋_GB2312" w:hAnsi="仿宋_GB2312" w:cs="仿宋_GB2312" w:eastAsia="仿宋_GB2312"/>
              </w:rPr>
              <w:t>（三）质量验收标准或规范</w:t>
            </w:r>
          </w:p>
          <w:p>
            <w:pPr>
              <w:pStyle w:val="null3"/>
              <w:jc w:val="both"/>
            </w:pPr>
            <w:r>
              <w:rPr>
                <w:rFonts w:ascii="仿宋_GB2312" w:hAnsi="仿宋_GB2312" w:cs="仿宋_GB2312" w:eastAsia="仿宋_GB2312"/>
              </w:rPr>
              <w:t>1.成交单位应负责在项目验收前将项目过程中产生的全部资料整理归档，并提交至采购方。</w:t>
            </w:r>
          </w:p>
          <w:p>
            <w:pPr>
              <w:pStyle w:val="null3"/>
              <w:jc w:val="both"/>
            </w:pPr>
            <w:r>
              <w:rPr>
                <w:rFonts w:ascii="仿宋_GB2312" w:hAnsi="仿宋_GB2312" w:cs="仿宋_GB2312" w:eastAsia="仿宋_GB2312"/>
              </w:rPr>
              <w:t>2.对整个项目的验收包括是否实现了采购人在响应文件中所要求的服务内容，是否与成交单位提出的解决方案完全一致。</w:t>
            </w:r>
          </w:p>
          <w:p>
            <w:pPr>
              <w:pStyle w:val="null3"/>
              <w:jc w:val="both"/>
            </w:pPr>
            <w:r>
              <w:rPr>
                <w:rFonts w:ascii="仿宋_GB2312" w:hAnsi="仿宋_GB2312" w:cs="仿宋_GB2312" w:eastAsia="仿宋_GB2312"/>
              </w:rPr>
              <w:t>3.本项目的最终验收由采购人、成交单位共同进行。</w:t>
            </w:r>
          </w:p>
          <w:p>
            <w:pPr>
              <w:pStyle w:val="null3"/>
              <w:jc w:val="both"/>
            </w:pPr>
            <w:r>
              <w:rPr>
                <w:rFonts w:ascii="仿宋_GB2312" w:hAnsi="仿宋_GB2312" w:cs="仿宋_GB2312" w:eastAsia="仿宋_GB2312"/>
              </w:rPr>
              <w:t>4.验收依据</w:t>
            </w:r>
          </w:p>
          <w:p>
            <w:pPr>
              <w:pStyle w:val="null3"/>
              <w:jc w:val="both"/>
            </w:pPr>
            <w:r>
              <w:rPr>
                <w:rFonts w:ascii="仿宋_GB2312" w:hAnsi="仿宋_GB2312" w:cs="仿宋_GB2312" w:eastAsia="仿宋_GB2312"/>
              </w:rPr>
              <w:t>（1）合同文本及合同补充文件（条款）；</w:t>
            </w:r>
          </w:p>
          <w:p>
            <w:pPr>
              <w:pStyle w:val="null3"/>
              <w:jc w:val="both"/>
            </w:pPr>
            <w:r>
              <w:rPr>
                <w:rFonts w:ascii="仿宋_GB2312" w:hAnsi="仿宋_GB2312" w:cs="仿宋_GB2312" w:eastAsia="仿宋_GB2312"/>
              </w:rPr>
              <w:t>（2）竞争性磋商文件；</w:t>
            </w:r>
          </w:p>
          <w:p>
            <w:pPr>
              <w:pStyle w:val="null3"/>
              <w:jc w:val="both"/>
            </w:pPr>
            <w:r>
              <w:rPr>
                <w:rFonts w:ascii="仿宋_GB2312" w:hAnsi="仿宋_GB2312" w:cs="仿宋_GB2312" w:eastAsia="仿宋_GB2312"/>
              </w:rPr>
              <w:t>（3）竞争性磋商响应文件；</w:t>
            </w:r>
          </w:p>
          <w:p>
            <w:pPr>
              <w:pStyle w:val="null3"/>
              <w:jc w:val="both"/>
            </w:pPr>
            <w:r>
              <w:rPr>
                <w:rFonts w:ascii="仿宋_GB2312" w:hAnsi="仿宋_GB2312" w:cs="仿宋_GB2312" w:eastAsia="仿宋_GB2312"/>
              </w:rPr>
              <w:t>（4）澄清表（函）；</w:t>
            </w:r>
          </w:p>
          <w:p>
            <w:pPr>
              <w:pStyle w:val="null3"/>
              <w:jc w:val="both"/>
            </w:pPr>
            <w:r>
              <w:rPr>
                <w:rFonts w:ascii="仿宋_GB2312" w:hAnsi="仿宋_GB2312" w:cs="仿宋_GB2312" w:eastAsia="仿宋_GB2312"/>
              </w:rPr>
              <w:t>（5）国家相应的标准、规范。</w:t>
            </w:r>
          </w:p>
          <w:p>
            <w:pPr>
              <w:pStyle w:val="null3"/>
              <w:jc w:val="both"/>
            </w:pPr>
            <w:r>
              <w:rPr>
                <w:rFonts w:ascii="仿宋_GB2312" w:hAnsi="仿宋_GB2312" w:cs="仿宋_GB2312" w:eastAsia="仿宋_GB2312"/>
              </w:rPr>
              <w:t>（四）违约责任</w:t>
            </w:r>
          </w:p>
          <w:p>
            <w:pPr>
              <w:pStyle w:val="null3"/>
              <w:jc w:val="both"/>
            </w:pPr>
            <w:r>
              <w:rPr>
                <w:rFonts w:ascii="仿宋_GB2312" w:hAnsi="仿宋_GB2312" w:cs="仿宋_GB2312" w:eastAsia="仿宋_GB2312"/>
              </w:rPr>
              <w:t>1.按照《中华人民共和国民法典》中的相关条款执行。</w:t>
            </w:r>
          </w:p>
          <w:p>
            <w:pPr>
              <w:pStyle w:val="null3"/>
              <w:jc w:val="both"/>
            </w:pPr>
            <w:r>
              <w:rPr>
                <w:rFonts w:ascii="仿宋_GB2312" w:hAnsi="仿宋_GB2312" w:cs="仿宋_GB2312" w:eastAsia="仿宋_GB2312"/>
              </w:rPr>
              <w:t>2.未按照合同要求提供服务或服务质量不能满足服务要求和标准，采购人有权终止合同，并对供方违约行为进行追究，同时按《中华人民共和国政府采购法》的有关规定进行处罚。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磋商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投标文件格式-标的清单）本项目服务范围：《“十五五”文化发展改革规划》编制；服务要求：符合磋商文件有关技术、商务要求；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提交项目所有的成果报告后，由采购人和成交人共同对项目进行整体验收。其内容包括是否按照采购人要求进行服务、是否在规定时间内服务完毕。其他事项：（1）验收合格后，填写政府采购项目验收单作为对本服务的最终认可。（2）供应商向采购人提供服务过程中的所有资料,以便采购人日后管理。（3）验收依据：磋商文件、磋商响应文件、澄清表（函）； 本合同及附件文本；国家相应的标准、规范。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完成服务内容，项目验收合格后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本次采购要求，甲方会同监督机构、采购代理机构有权终止合同和对乙方违约行为进行追究，同时按有关规定进行相应的处罚。 3.合同争议解决的方式：本合同在履行过程中发生的争议，由甲、乙双方当事人协商解决，协商不成的按下列第（2）种方式解决：（1）提交汉中仲裁委员会仲裁；（2）依法向有管辖权的人民法院起诉。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 2.保密条款:（1）成交供应商应严格遵守采购单位有关保密规定，不得泄漏一切机密;（2）在技术服务期间，成交供应商对接触到的有关采购单位商业活动、技术情报和技术资料等文件进行保密。 3.为顺利推进政府采购电子化交易平台应用工作，供应商需要在线提交所有通过电子化交易平台实施的政府采购项目的响应文件，确定成交后，成交人须在成交结果公告发布后的3个工作日内提交纸质版响应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 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应满足磋商文件中要求的服务期限（合同履行期限）。</w:t>
            </w:r>
          </w:p>
        </w:tc>
        <w:tc>
          <w:tcPr>
            <w:tcW w:type="dxa" w:w="1661"/>
          </w:tcPr>
          <w:p>
            <w:pPr>
              <w:pStyle w:val="null3"/>
            </w:pPr>
            <w:r>
              <w:rPr>
                <w:rFonts w:ascii="仿宋_GB2312" w:hAnsi="仿宋_GB2312" w:cs="仿宋_GB2312" w:eastAsia="仿宋_GB2312"/>
              </w:rPr>
              <w:t>采购需求偏离表.pdf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方案内容包括但不限于①项目理解和认识；②工作思路和原则；③专业资料搜集和内容梳理。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方案内容包括但不限于①项目实施目标分析；②服务内容任务分解；③作业流程和方法；④成果文件产出实施方案。以上内容专门针对本项目且阐述明晰、全面、合理得20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方案内容包括但不限于①项目实施进度目标分析；②项目进度保障措施；③突发问题情况的处置方案等。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方案内容包括但不限于①质量目标；②质量保障制度；③成果文件质量控制措施等。以上内容专门针对本项目且阐述明晰、全面、合理得9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方案内容包括但不限于①保密管理制度；②保密责任；③具体工作保密措施；④保密承诺等。 以上内容专门针对本项目且阐述明晰、全面、合理得8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方案内容包括但不限于①积极配合采购人服务要求；②廉洁从业的承诺；③服务承诺；④合理化建议等。以上内容专门针对本项目且阐述明晰、全面、合理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方案内容包括但不限于①应急预案详述；②应急工作流程；③应急措施。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方案内容包括但不限于①管理组织架构；②人员岗位职责划分及专业人员投入情况；③人员工作经验及业务管理流程情况；④管理及岗位制度。以上内容专门针对本项目且阐述明晰、全面、合理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供应商提供2021年1月1日至响应文件截止时间前的类似项目业绩。每提供一项有效业绩得2分，满分6分。 注：业绩证明材料为合同或中标通知书，时间以合同或中标通知书签订或发出时间为准。合同扫描件至少应当包含首页、合同金额所在页及签字盖章页，否则不予认可。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1.经初审合格的磋商响应文件，其磋商报价为有效磋商报价，对有效磋商报价进行价格评审。 2.满足磋商文件实质性要求且最终报价最低的供应商的价格为磋商基准价，其价格分为满分10分。 3.磋商报价得分=（磋商基准价/磋商报价）×10的公式计算得分。 4.磋商报价不完整的，不进入磋商标准价的计算，本项得0分。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详见附件：服务方案说明书.pdf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