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CCB5B2">
      <w:pPr>
        <w:spacing w:line="500" w:lineRule="exact"/>
        <w:ind w:firstLine="280" w:firstLineChars="100"/>
        <w:rPr>
          <w:rFonts w:hint="eastAsia" w:ascii="仿宋" w:hAnsi="仿宋" w:eastAsia="仿宋" w:cs="仿宋"/>
          <w:sz w:val="28"/>
          <w:szCs w:val="28"/>
        </w:rPr>
      </w:pPr>
      <w:r>
        <w:rPr>
          <w:rFonts w:hint="eastAsia" w:ascii="仿宋" w:hAnsi="仿宋" w:eastAsia="仿宋" w:cs="仿宋"/>
          <w:sz w:val="28"/>
          <w:szCs w:val="28"/>
        </w:rPr>
        <w:t>一、合同格式</w:t>
      </w:r>
    </w:p>
    <w:p w14:paraId="6DA769BB">
      <w:pPr>
        <w:spacing w:line="580" w:lineRule="exact"/>
        <w:ind w:firstLine="840" w:firstLineChars="300"/>
        <w:rPr>
          <w:rFonts w:hint="eastAsia" w:ascii="仿宋" w:hAnsi="仿宋" w:eastAsia="仿宋" w:cs="仿宋"/>
          <w:spacing w:val="-20"/>
          <w:sz w:val="28"/>
          <w:szCs w:val="28"/>
        </w:rPr>
      </w:pPr>
      <w:bookmarkStart w:id="5" w:name="_GoBack"/>
      <w:bookmarkEnd w:id="5"/>
      <w:r>
        <w:rPr>
          <w:rFonts w:hint="eastAsia" w:ascii="仿宋" w:hAnsi="仿宋" w:eastAsia="仿宋" w:cs="仿宋"/>
          <w:color w:val="000000"/>
          <w:sz w:val="28"/>
          <w:szCs w:val="28"/>
          <w:u w:val="single"/>
        </w:rPr>
        <w:t>医疗废物处置服务采购项目(项目编号：GLD2025-070901Z.1B2)</w:t>
      </w:r>
      <w:r>
        <w:rPr>
          <w:rFonts w:hint="eastAsia" w:ascii="仿宋" w:hAnsi="仿宋" w:eastAsia="仿宋" w:cs="仿宋"/>
          <w:color w:val="000000"/>
          <w:sz w:val="28"/>
          <w:szCs w:val="28"/>
        </w:rPr>
        <w:t>，在</w:t>
      </w:r>
      <w:r>
        <w:rPr>
          <w:rFonts w:hint="eastAsia" w:ascii="仿宋" w:hAnsi="仿宋" w:eastAsia="仿宋" w:cs="仿宋"/>
          <w:color w:val="000000"/>
          <w:sz w:val="28"/>
          <w:szCs w:val="28"/>
          <w:u w:val="single"/>
          <w:lang w:eastAsia="zh-CN"/>
        </w:rPr>
        <w:t>汉中市财政局</w:t>
      </w:r>
      <w:r>
        <w:rPr>
          <w:rFonts w:hint="eastAsia" w:ascii="仿宋" w:hAnsi="仿宋" w:eastAsia="仿宋" w:cs="仿宋"/>
          <w:color w:val="000000"/>
          <w:sz w:val="28"/>
          <w:szCs w:val="28"/>
        </w:rPr>
        <w:t>的监督管理下，由陕西广联达招标有限公司组织公开招标。</w:t>
      </w:r>
      <w:r>
        <w:rPr>
          <w:rFonts w:hint="eastAsia" w:ascii="仿宋" w:hAnsi="仿宋" w:eastAsia="仿宋" w:cs="仿宋"/>
          <w:color w:val="000000"/>
          <w:sz w:val="28"/>
          <w:szCs w:val="28"/>
          <w:u w:val="single"/>
        </w:rPr>
        <w:t>招标</w:t>
      </w:r>
      <w:r>
        <w:rPr>
          <w:rFonts w:hint="eastAsia" w:ascii="仿宋" w:hAnsi="仿宋" w:eastAsia="仿宋" w:cs="仿宋"/>
          <w:sz w:val="28"/>
          <w:szCs w:val="28"/>
          <w:u w:val="single"/>
        </w:rPr>
        <w:t xml:space="preserve">人 </w:t>
      </w:r>
      <w:r>
        <w:rPr>
          <w:rFonts w:hint="eastAsia" w:ascii="仿宋" w:hAnsi="仿宋" w:eastAsia="仿宋" w:cs="仿宋"/>
          <w:sz w:val="28"/>
          <w:szCs w:val="28"/>
        </w:rPr>
        <w:t xml:space="preserve">(以下简称“甲方”)确定 </w:t>
      </w:r>
      <w:r>
        <w:rPr>
          <w:rFonts w:hint="eastAsia" w:ascii="仿宋" w:hAnsi="仿宋" w:eastAsia="仿宋" w:cs="仿宋"/>
          <w:sz w:val="28"/>
          <w:szCs w:val="28"/>
          <w:u w:val="single"/>
        </w:rPr>
        <w:t xml:space="preserve">(中标单位名称) </w:t>
      </w:r>
      <w:r>
        <w:rPr>
          <w:rFonts w:hint="eastAsia" w:ascii="仿宋" w:hAnsi="仿宋" w:eastAsia="仿宋" w:cs="仿宋"/>
          <w:sz w:val="28"/>
          <w:szCs w:val="28"/>
        </w:rPr>
        <w:t>（以下简称“乙方”）为中标单位。</w:t>
      </w:r>
    </w:p>
    <w:p w14:paraId="6BE35647">
      <w:pPr>
        <w:spacing w:line="580" w:lineRule="exact"/>
        <w:ind w:firstLine="840" w:firstLineChars="300"/>
        <w:rPr>
          <w:rFonts w:hint="eastAsia" w:ascii="仿宋" w:hAnsi="仿宋" w:eastAsia="仿宋" w:cs="仿宋"/>
          <w:kern w:val="0"/>
          <w:sz w:val="28"/>
          <w:szCs w:val="28"/>
        </w:rPr>
      </w:pPr>
      <w:r>
        <w:rPr>
          <w:rFonts w:hint="eastAsia" w:ascii="仿宋" w:hAnsi="仿宋" w:eastAsia="仿宋" w:cs="仿宋"/>
          <w:sz w:val="28"/>
          <w:szCs w:val="28"/>
        </w:rPr>
        <w:t>依据《中华人民共和国民法典》和《中华人民共和国政府采购法》，甲方通过公开招标采购</w:t>
      </w:r>
      <w:r>
        <w:rPr>
          <w:rFonts w:hint="eastAsia" w:ascii="仿宋" w:hAnsi="仿宋" w:eastAsia="仿宋" w:cs="仿宋"/>
          <w:sz w:val="28"/>
          <w:szCs w:val="28"/>
          <w:u w:val="single"/>
        </w:rPr>
        <w:t xml:space="preserve">（服务项目名称） </w:t>
      </w:r>
      <w:r>
        <w:rPr>
          <w:rFonts w:hint="eastAsia" w:ascii="仿宋" w:hAnsi="仿宋" w:eastAsia="仿宋" w:cs="仿宋"/>
          <w:sz w:val="28"/>
          <w:szCs w:val="28"/>
        </w:rPr>
        <w:t>，并接受了乙方以</w:t>
      </w:r>
      <w:r>
        <w:rPr>
          <w:rFonts w:hint="eastAsia" w:ascii="仿宋" w:hAnsi="仿宋" w:eastAsia="仿宋" w:cs="仿宋"/>
          <w:kern w:val="0"/>
          <w:sz w:val="28"/>
          <w:szCs w:val="28"/>
        </w:rPr>
        <w:t>价格</w:t>
      </w:r>
      <w:r>
        <w:rPr>
          <w:rFonts w:hint="eastAsia" w:ascii="仿宋" w:hAnsi="仿宋" w:eastAsia="仿宋" w:cs="仿宋"/>
          <w:kern w:val="0"/>
          <w:sz w:val="28"/>
          <w:szCs w:val="28"/>
          <w:u w:val="single"/>
        </w:rPr>
        <w:t>(中标金额大写)</w:t>
      </w:r>
      <w:r>
        <w:rPr>
          <w:rFonts w:hint="eastAsia" w:ascii="仿宋" w:hAnsi="仿宋" w:eastAsia="仿宋" w:cs="仿宋"/>
          <w:kern w:val="0"/>
          <w:sz w:val="28"/>
          <w:szCs w:val="28"/>
        </w:rPr>
        <w:t>(以下简称“合同价”)提供的产品及服务。</w:t>
      </w:r>
    </w:p>
    <w:p w14:paraId="36E1D435">
      <w:pPr>
        <w:spacing w:line="580" w:lineRule="exact"/>
        <w:rPr>
          <w:rFonts w:hint="eastAsia" w:ascii="仿宋" w:hAnsi="仿宋" w:eastAsia="仿宋" w:cs="仿宋"/>
          <w:sz w:val="28"/>
        </w:rPr>
      </w:pPr>
      <w:bookmarkStart w:id="0" w:name="_Toc193126879"/>
      <w:bookmarkStart w:id="1" w:name="_Toc188808831"/>
      <w:bookmarkStart w:id="2" w:name="_Toc194663916"/>
      <w:bookmarkStart w:id="3" w:name="_Toc193187095"/>
      <w:r>
        <w:rPr>
          <w:rFonts w:hint="eastAsia" w:ascii="仿宋" w:hAnsi="仿宋" w:eastAsia="仿宋" w:cs="仿宋"/>
          <w:sz w:val="28"/>
          <w:szCs w:val="28"/>
        </w:rPr>
        <w:t>本合同在此声明如下：</w:t>
      </w:r>
    </w:p>
    <w:p w14:paraId="396D3EF1">
      <w:pPr>
        <w:numPr>
          <w:ilvl w:val="0"/>
          <w:numId w:val="1"/>
        </w:numPr>
        <w:spacing w:line="580" w:lineRule="exact"/>
        <w:rPr>
          <w:rFonts w:hint="eastAsia" w:ascii="仿宋" w:hAnsi="仿宋" w:eastAsia="仿宋" w:cs="仿宋"/>
          <w:sz w:val="28"/>
        </w:rPr>
      </w:pPr>
      <w:r>
        <w:rPr>
          <w:rFonts w:hint="eastAsia" w:ascii="仿宋" w:hAnsi="仿宋" w:eastAsia="仿宋" w:cs="仿宋"/>
          <w:sz w:val="28"/>
          <w:szCs w:val="28"/>
        </w:rPr>
        <w:t>本合同中的词语和术语的含义与合同条款中定义的相同。</w:t>
      </w:r>
    </w:p>
    <w:bookmarkEnd w:id="0"/>
    <w:bookmarkEnd w:id="1"/>
    <w:bookmarkEnd w:id="2"/>
    <w:bookmarkEnd w:id="3"/>
    <w:p w14:paraId="0D7EE39B">
      <w:pPr>
        <w:numPr>
          <w:ilvl w:val="0"/>
          <w:numId w:val="1"/>
        </w:numPr>
        <w:spacing w:line="580" w:lineRule="exact"/>
        <w:rPr>
          <w:rFonts w:ascii="仿宋" w:hAnsi="仿宋" w:eastAsia="仿宋" w:cs="仿宋"/>
          <w:sz w:val="28"/>
          <w:szCs w:val="28"/>
        </w:rPr>
      </w:pPr>
      <w:r>
        <w:rPr>
          <w:rFonts w:hint="eastAsia" w:ascii="仿宋" w:hAnsi="仿宋" w:eastAsia="仿宋" w:cs="仿宋"/>
          <w:sz w:val="28"/>
          <w:szCs w:val="28"/>
        </w:rPr>
        <w:t>下述合同附件为本合同不可分割的部分并与本合同具有同等效力：</w:t>
      </w:r>
    </w:p>
    <w:p w14:paraId="36C8840B">
      <w:pPr>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（1）服务范围及分项价格表</w:t>
      </w:r>
    </w:p>
    <w:p w14:paraId="51A917CF">
      <w:pPr>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（2）招标文件、招标文件澄清文件</w:t>
      </w:r>
    </w:p>
    <w:p w14:paraId="0B30751A">
      <w:pPr>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（3）投标文件、投标人在评标期间的承诺文件</w:t>
      </w:r>
    </w:p>
    <w:p w14:paraId="1A2EEF6D">
      <w:pPr>
        <w:numPr>
          <w:ilvl w:val="0"/>
          <w:numId w:val="2"/>
        </w:numPr>
        <w:spacing w:line="580" w:lineRule="exact"/>
        <w:rPr>
          <w:rFonts w:hint="eastAsia" w:ascii="仿宋" w:hAnsi="仿宋" w:eastAsia="仿宋" w:cs="仿宋"/>
          <w:sz w:val="28"/>
          <w:szCs w:val="28"/>
        </w:rPr>
      </w:pPr>
      <w:r>
        <w:rPr>
          <w:rFonts w:hint="eastAsia" w:ascii="仿宋" w:hAnsi="仿宋" w:eastAsia="仿宋" w:cs="仿宋"/>
          <w:sz w:val="28"/>
          <w:szCs w:val="28"/>
        </w:rPr>
        <w:t>中标通知书</w:t>
      </w:r>
    </w:p>
    <w:p w14:paraId="02D6A234">
      <w:pPr>
        <w:spacing w:line="580" w:lineRule="exact"/>
        <w:ind w:firstLine="420" w:firstLineChars="150"/>
        <w:rPr>
          <w:rFonts w:ascii="仿宋" w:hAnsi="仿宋" w:eastAsia="仿宋" w:cs="仿宋"/>
          <w:sz w:val="28"/>
          <w:szCs w:val="28"/>
        </w:rPr>
      </w:pPr>
      <w:r>
        <w:rPr>
          <w:rFonts w:hint="eastAsia" w:ascii="仿宋" w:hAnsi="仿宋" w:eastAsia="仿宋" w:cs="仿宋"/>
          <w:sz w:val="28"/>
          <w:szCs w:val="28"/>
        </w:rPr>
        <w:t>3、考虑到甲方将按照本合同规定向乙方支付款项，乙方再次保证全部按照合同的规定向甲方提供服务、验收。</w:t>
      </w:r>
    </w:p>
    <w:p w14:paraId="348E7363">
      <w:pPr>
        <w:spacing w:line="580" w:lineRule="exact"/>
        <w:ind w:firstLine="420" w:firstLineChars="150"/>
        <w:rPr>
          <w:rFonts w:ascii="仿宋" w:hAnsi="仿宋" w:eastAsia="仿宋" w:cs="仿宋"/>
          <w:sz w:val="28"/>
          <w:szCs w:val="28"/>
        </w:rPr>
      </w:pPr>
      <w:r>
        <w:rPr>
          <w:rFonts w:hint="eastAsia" w:ascii="仿宋" w:hAnsi="仿宋" w:eastAsia="仿宋" w:cs="仿宋"/>
          <w:sz w:val="28"/>
          <w:szCs w:val="28"/>
        </w:rPr>
        <w:t>4、考虑到乙方提供的货物和服务并修补缺陷，甲方在此保证按照合同规定的时间和方式向乙方支付合同价或其它按合同规定支付的金额。</w:t>
      </w:r>
    </w:p>
    <w:p w14:paraId="4D0B578B">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二、 商业保密条款</w:t>
      </w:r>
    </w:p>
    <w:p w14:paraId="74F75F29">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商业秘密：任何一方公开或未公开的任何技术信息和经营信息，包括但不限于：产品计划、销售计划、奖励政策、客户资料、财务信息等，以及非专利技术、设计、程序、技术数据、制作方法、资讯来源等，均构成该方的商业秘密。</w:t>
      </w:r>
    </w:p>
    <w:p w14:paraId="2F3854A3">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保密：双方对在本协议下知悉的另一方的任何商业秘密均负有保密义务，任何一方在任何时候均不得向第三方披露另一方的商业秘密，非经另一方书面许可不得向任何第三方泄露。任何一方违反本条规定的，应全额赔偿另一方因此遭受的全部直接和间接损失。</w:t>
      </w:r>
    </w:p>
    <w:p w14:paraId="3A898D65">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三、违约责任</w:t>
      </w:r>
    </w:p>
    <w:p w14:paraId="7BC23840">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由于一方不履行本协议规定的义务，或严重违反协议，造成该业务无法经营或无法达到协议的相关约定，视作违约方单方终止协议，另一方除有权向违约的一方索赔外，并有权按协议规定通过法律程序终止协议。如双方同意继续合作，违约方仍应赔偿非违约方的经济损失。</w:t>
      </w:r>
    </w:p>
    <w:p w14:paraId="0CADC88B">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乙方存在下列行为，乙方应自行承担由此造成的一切损失：</w:t>
      </w:r>
    </w:p>
    <w:p w14:paraId="3DDC8F82">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乙方所提供的产品没有正当合法来源的；</w:t>
      </w:r>
    </w:p>
    <w:p w14:paraId="6DDAE83A">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乙方提供的产品存在质量缺陷使购买者人身权和财产权收到损害的；</w:t>
      </w:r>
    </w:p>
    <w:p w14:paraId="02518C94">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乙方提供或故意编造虚假的进货凭证或进货渠道说明；</w:t>
      </w:r>
    </w:p>
    <w:p w14:paraId="4D973ED3">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乙方存在下列行为，乙方需按照以下方式承担由此对甲方造成的损失：</w:t>
      </w:r>
    </w:p>
    <w:p w14:paraId="00DBE2E5">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四、 争议解决方式</w:t>
      </w:r>
    </w:p>
    <w:p w14:paraId="52232583">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一切由执行合同引起或者与合同有关的争议，均应友好协商解决，协商不成时应按照《中华人民共和国仲裁法》的有关规定提交当地仲裁委员会申请仲裁。</w:t>
      </w:r>
    </w:p>
    <w:p w14:paraId="302A9486">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当一方当事人不履行仲裁裁决时，另一方当事人有权向甲方公司所在地人民法院提出申请，请求人民法院予以强制执行。</w:t>
      </w:r>
    </w:p>
    <w:p w14:paraId="4EAC4DC6">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除判决书另有规定外，仲裁费用由败诉方承担。</w:t>
      </w:r>
    </w:p>
    <w:p w14:paraId="7990DF7E">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仲裁进行过程中，双方将继续履行仲裁部分以外的合同条款。</w:t>
      </w:r>
    </w:p>
    <w:p w14:paraId="77531987">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本合同未涉及的部分，均按《</w:t>
      </w:r>
      <w:r>
        <w:rPr>
          <w:rFonts w:hint="eastAsia" w:ascii="仿宋" w:hAnsi="仿宋" w:eastAsia="仿宋" w:cs="仿宋"/>
          <w:sz w:val="28"/>
          <w:szCs w:val="28"/>
          <w:lang w:eastAsia="zh-CN"/>
        </w:rPr>
        <w:t>中华人民共和国民法典</w:t>
      </w:r>
      <w:r>
        <w:rPr>
          <w:rFonts w:hint="eastAsia" w:ascii="仿宋" w:hAnsi="仿宋" w:eastAsia="仿宋" w:cs="仿宋"/>
          <w:sz w:val="28"/>
          <w:szCs w:val="28"/>
        </w:rPr>
        <w:t>》及其它相关法律法规的有关规定执行。</w:t>
      </w:r>
    </w:p>
    <w:p w14:paraId="799F39DF">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五、协议的生效、终止及其他</w:t>
      </w:r>
    </w:p>
    <w:p w14:paraId="4DEFDBE8">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协议自双方授权代表签字、盖章之日起正式生效。在有效期内如一方要求中止协议，须提前两个月向另一方提出解除本协议的书面通知，如果对方同意解除协议，则协议自对方在书面通知上签字起两个月后自动废止。协议期满前一个月若双方均未以书面形式提出异议，则本协议自动延期一年，延期期数没有限制，直到双方提出异议为止。</w:t>
      </w:r>
    </w:p>
    <w:p w14:paraId="37DC4CF3">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经甲乙双方书面同意的协议附件是本协议不可分割的部分，与协议正文具有同等法律效力。任何变更事宜，均需书面文件。</w:t>
      </w:r>
    </w:p>
    <w:p w14:paraId="31803E26">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对本协议内容做出的任何修改和补充应为书面形式，由双方授权代表签字后成为协议不可分割的部分。</w:t>
      </w:r>
    </w:p>
    <w:p w14:paraId="31092F89">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本协议及其附件为中文本，共肆份原件，均具同等法律效力，双方各执两份为凭。</w:t>
      </w:r>
    </w:p>
    <w:p w14:paraId="17B66574">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本协议未尽事宜，须经双方另行协商并签署书面文件，与本协议具有同等法律效力。</w:t>
      </w:r>
    </w:p>
    <w:p w14:paraId="35CDACB1">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对协议及附件的任何变更或修改均以书面形式确认，并需甲乙双方代表签字方为有效。</w:t>
      </w: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649"/>
        <w:gridCol w:w="4423"/>
      </w:tblGrid>
      <w:tr w14:paraId="43D316D5">
        <w:tblPrEx>
          <w:tblCellMar>
            <w:top w:w="0" w:type="dxa"/>
            <w:left w:w="108" w:type="dxa"/>
            <w:bottom w:w="0" w:type="dxa"/>
            <w:right w:w="108" w:type="dxa"/>
          </w:tblCellMar>
        </w:tblPrEx>
        <w:trPr>
          <w:trHeight w:val="3093" w:hRule="atLeast"/>
        </w:trPr>
        <w:tc>
          <w:tcPr>
            <w:tcW w:w="4649" w:type="dxa"/>
            <w:noWrap w:val="0"/>
            <w:tcMar>
              <w:top w:w="113" w:type="dxa"/>
              <w:left w:w="113" w:type="dxa"/>
              <w:bottom w:w="113" w:type="dxa"/>
              <w:right w:w="113" w:type="dxa"/>
            </w:tcMar>
            <w:vAlign w:val="top"/>
          </w:tcPr>
          <w:p w14:paraId="3345DBD7">
            <w:pPr>
              <w:autoSpaceDE w:val="0"/>
              <w:autoSpaceDN w:val="0"/>
              <w:spacing w:line="460" w:lineRule="exact"/>
              <w:ind w:left="240" w:leftChars="100"/>
              <w:rPr>
                <w:rFonts w:hint="eastAsia" w:ascii="仿宋" w:hAnsi="仿宋" w:eastAsia="仿宋" w:cs="仿宋"/>
                <w:sz w:val="28"/>
                <w:szCs w:val="28"/>
              </w:rPr>
            </w:pPr>
            <w:bookmarkStart w:id="4" w:name="OLE_LINK14"/>
            <w:r>
              <w:rPr>
                <w:rFonts w:hint="eastAsia" w:ascii="仿宋" w:hAnsi="仿宋" w:eastAsia="仿宋" w:cs="仿宋"/>
                <w:sz w:val="28"/>
                <w:szCs w:val="28"/>
              </w:rPr>
              <w:t xml:space="preserve">甲方名称（盖章）： </w:t>
            </w:r>
          </w:p>
          <w:p w14:paraId="26404115">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 xml:space="preserve">地    址： </w:t>
            </w:r>
          </w:p>
          <w:p w14:paraId="79731BB7">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电    话：</w:t>
            </w:r>
          </w:p>
          <w:p w14:paraId="5C32CFB3">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传    真：</w:t>
            </w:r>
          </w:p>
          <w:p w14:paraId="5E0B6D0B">
            <w:pPr>
              <w:autoSpaceDE w:val="0"/>
              <w:autoSpaceDN w:val="0"/>
              <w:spacing w:line="460" w:lineRule="exact"/>
              <w:ind w:left="240" w:leftChars="100"/>
              <w:rPr>
                <w:rFonts w:hint="eastAsia" w:ascii="仿宋" w:hAnsi="仿宋" w:eastAsia="仿宋" w:cs="仿宋"/>
                <w:sz w:val="28"/>
                <w:szCs w:val="28"/>
              </w:rPr>
            </w:pPr>
          </w:p>
          <w:p w14:paraId="1373AA29">
            <w:pPr>
              <w:autoSpaceDE w:val="0"/>
              <w:autoSpaceDN w:val="0"/>
              <w:spacing w:line="460" w:lineRule="exact"/>
              <w:ind w:left="240" w:leftChars="100"/>
              <w:rPr>
                <w:rFonts w:hint="eastAsia" w:ascii="仿宋" w:hAnsi="仿宋" w:eastAsia="仿宋" w:cs="仿宋"/>
                <w:sz w:val="28"/>
                <w:szCs w:val="28"/>
              </w:rPr>
            </w:pPr>
          </w:p>
          <w:p w14:paraId="665C0BB7">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代表签字：</w:t>
            </w:r>
          </w:p>
          <w:p w14:paraId="41BF06A4">
            <w:pPr>
              <w:spacing w:line="460" w:lineRule="exact"/>
              <w:ind w:left="240" w:leftChars="100"/>
              <w:rPr>
                <w:rFonts w:hint="eastAsia" w:ascii="仿宋" w:hAnsi="仿宋" w:eastAsia="仿宋" w:cs="仿宋"/>
                <w:sz w:val="28"/>
                <w:szCs w:val="28"/>
              </w:rPr>
            </w:pPr>
          </w:p>
          <w:p w14:paraId="50C7B51F">
            <w:pPr>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 xml:space="preserve">  年   月   日 </w:t>
            </w:r>
          </w:p>
          <w:bookmarkEnd w:id="4"/>
          <w:p w14:paraId="01A1FC4C">
            <w:pPr>
              <w:spacing w:line="460" w:lineRule="exact"/>
              <w:rPr>
                <w:rFonts w:hint="eastAsia" w:ascii="仿宋" w:hAnsi="仿宋" w:eastAsia="仿宋" w:cs="仿宋"/>
                <w:sz w:val="28"/>
                <w:szCs w:val="28"/>
              </w:rPr>
            </w:pPr>
          </w:p>
        </w:tc>
        <w:tc>
          <w:tcPr>
            <w:tcW w:w="4423" w:type="dxa"/>
            <w:noWrap w:val="0"/>
            <w:tcMar>
              <w:top w:w="113" w:type="dxa"/>
              <w:left w:w="113" w:type="dxa"/>
              <w:bottom w:w="113" w:type="dxa"/>
              <w:right w:w="113" w:type="dxa"/>
            </w:tcMar>
            <w:vAlign w:val="top"/>
          </w:tcPr>
          <w:p w14:paraId="171862AE">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乙方名称（盖章）：</w:t>
            </w:r>
          </w:p>
          <w:p w14:paraId="5F274805">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 xml:space="preserve">地    址： </w:t>
            </w:r>
          </w:p>
          <w:p w14:paraId="749F23F9">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 xml:space="preserve">电    话： </w:t>
            </w:r>
          </w:p>
          <w:p w14:paraId="6676CB41">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 xml:space="preserve">传    真：  </w:t>
            </w:r>
          </w:p>
          <w:p w14:paraId="572AC77D">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开户银行：</w:t>
            </w:r>
          </w:p>
          <w:p w14:paraId="6B0B54B8">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帐    号：</w:t>
            </w:r>
          </w:p>
          <w:p w14:paraId="783C61B0">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代表签字：</w:t>
            </w:r>
          </w:p>
          <w:p w14:paraId="5984C01C">
            <w:pPr>
              <w:spacing w:line="460" w:lineRule="exact"/>
              <w:ind w:left="240" w:leftChars="100"/>
              <w:rPr>
                <w:rFonts w:hint="eastAsia" w:ascii="仿宋" w:hAnsi="仿宋" w:eastAsia="仿宋" w:cs="仿宋"/>
                <w:sz w:val="28"/>
                <w:szCs w:val="28"/>
              </w:rPr>
            </w:pPr>
          </w:p>
          <w:p w14:paraId="6FC520A4">
            <w:pPr>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 xml:space="preserve">   年    月    日</w:t>
            </w:r>
          </w:p>
        </w:tc>
      </w:tr>
    </w:tbl>
    <w:p w14:paraId="048F0E0A"/>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655718"/>
    <w:multiLevelType w:val="multilevel"/>
    <w:tmpl w:val="12655718"/>
    <w:lvl w:ilvl="0" w:tentative="0">
      <w:start w:val="4"/>
      <w:numFmt w:val="decimal"/>
      <w:lvlText w:val="（%1）"/>
      <w:lvlJc w:val="left"/>
      <w:pPr>
        <w:ind w:left="1295" w:hanging="735"/>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
    <w:nsid w:val="38140323"/>
    <w:multiLevelType w:val="multilevel"/>
    <w:tmpl w:val="38140323"/>
    <w:lvl w:ilvl="0" w:tentative="0">
      <w:start w:val="1"/>
      <w:numFmt w:val="decimal"/>
      <w:lvlText w:val="%1、"/>
      <w:lvlJc w:val="left"/>
      <w:pPr>
        <w:ind w:left="1280" w:hanging="720"/>
      </w:pPr>
      <w:rPr>
        <w:rFonts w:ascii="仿宋" w:hAnsi="仿宋" w:eastAsia="仿宋" w:cs="仿宋"/>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6B538A"/>
    <w:rsid w:val="0EB96939"/>
    <w:rsid w:val="3A6F0F4A"/>
    <w:rsid w:val="76933269"/>
    <w:rsid w:val="7D11007E"/>
    <w:rsid w:val="7FF11D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val="0"/>
      <w:spacing w:after="120"/>
      <w:jc w:val="both"/>
    </w:pPr>
    <w:rPr>
      <w:rFonts w:ascii="Times New Roman" w:hAnsi="Times New Roman" w:eastAsia="宋体" w:cs="Times New Roman"/>
      <w:kern w:val="0"/>
      <w:sz w:val="20"/>
      <w:szCs w:val="24"/>
      <w:lang w:val="en-US" w:eastAsia="zh-CN" w:bidi="ar-SA"/>
    </w:rPr>
  </w:style>
  <w:style w:type="paragraph" w:styleId="4">
    <w:name w:val="footer"/>
    <w:unhideWhenUsed/>
    <w:qFormat/>
    <w:uiPriority w:val="99"/>
    <w:pPr>
      <w:widowControl w:val="0"/>
      <w:tabs>
        <w:tab w:val="center" w:pos="4153"/>
        <w:tab w:val="right" w:pos="8306"/>
      </w:tabs>
      <w:snapToGrid w:val="0"/>
      <w:jc w:val="left"/>
    </w:pPr>
    <w:rPr>
      <w:rFonts w:ascii="Times New Roman" w:hAnsi="Times New Roman" w:eastAsia="宋体" w:cs="Times New Roman"/>
      <w:kern w:val="0"/>
      <w:sz w:val="18"/>
      <w:szCs w:val="18"/>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1549</Words>
  <Characters>1569</Characters>
  <Lines>0</Lines>
  <Paragraphs>0</Paragraphs>
  <TotalTime>1</TotalTime>
  <ScaleCrop>false</ScaleCrop>
  <LinksUpToDate>false</LinksUpToDate>
  <CharactersWithSpaces>1629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2025-04-09T12:31:00Z</dcterms:created>
  <dc:creator>Administrator</dc:creator>
  <cp:lastModifiedBy>毛毛麻麻^_^跨境代购</cp:lastModifiedBy>
  <dcterms:modified xsi:type="dcterms:W3CDTF">2025-09-29T06:29:49Z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eyJoZGlkIjoiNTI4NWY5Y2QzMTA2MWY4N2ZmNWU2ZTM2Y2UyMDAwZWEiLCJ1c2VySWQiOiI0MzA1Mjg1NTQifQ==</vt:lpwstr>
  </property>
  <property fmtid="{D5CDD505-2E9C-101B-9397-08002B2CF9AE}" pid="4" name="ICV">
    <vt:lpwstr>45FCC230EEF94EDAA68CADF86DCBF4D3_12</vt:lpwstr>
  </property>
</Properties>
</file>