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版本号：GLD2026-011201Z20260306002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新生儿转运系统及吊塔</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GLD2026-011201Z</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陕西广联达招标有限公司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陕西广联达招标有限公司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新生儿转运系统及吊塔</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GLD2026-011201Z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新生儿转运系统及吊塔</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新生儿转运系统及吊塔</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3、特殊资质：投标产品属于医疗器械管理的须提供所投产品的《医疗器械产品注册证》；且授权范围需包含本次采购项目内容。 ②投标人为生产厂家的须提供《医疗器械生产许可证》，投标人为代理商的须提供《医疗器械经营许可证》或《医疗器械经营备案证》</w:t>
      </w:r>
    </w:p>
    <w:p>
      <w:pPr>
        <w:pStyle w:val="null3"/>
      </w:pPr>
      <w:r>
        <w:rPr>
          <w:rFonts w:ascii="仿宋_GB2312" w:hAnsi="仿宋_GB2312" w:cs="仿宋_GB2312" w:eastAsia="仿宋_GB2312"/>
        </w:rPr>
        <w:t>4、承诺函：具有良好的商业信誉和健全的财务会计制度,具有履行合同所必需的设备和专业技术能力，具有依法缴纳税收和社会保障金的良好记录，参加本项目采购活动前三年内无重大违法活动记录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3、特殊资质：投标产品属于医疗器械管理的须提供所投产品的《医疗器械产品注册证》；且授权范围需包含本次采购项目内容。 ②投标人为生产厂家的须提供《医疗器械生产许可证》，投标人为代理商的须提供《医疗器械经营许可证》或《医疗器械经营备案证》</w:t>
      </w:r>
    </w:p>
    <w:p>
      <w:pPr>
        <w:pStyle w:val="null3"/>
      </w:pPr>
      <w:r>
        <w:rPr>
          <w:rFonts w:ascii="仿宋_GB2312" w:hAnsi="仿宋_GB2312" w:cs="仿宋_GB2312" w:eastAsia="仿宋_GB2312"/>
        </w:rPr>
        <w:t>4、承诺函：具有良好的商业信誉和健全的财务会计制度,具有履行合同所必需的设备和专业技术能力，具有依法缴纳税收和社会保障金的良好记录，参加本项目采购活动前三年内无重大违法活动记录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陕西广联达招标有限公司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陕西省西安市未央区西安经济技术开发区明光路 55 号天朗经开中心 6 层605室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18829023286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采购包2：700,000.00元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》（发改价格[2011]534号）文件的规定向陕西广联达招标有限公司交纳招标服务费。名称：陕西广联达招标有限公司，开户行：中国银行股份有限公司西安万寿路支行， 账号：1028 4964 6773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陕西广联达招标有限公司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陕西广联达招标有限公司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陕西广联达招标有限公司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符合国家相关要求，验收达到合格标准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符合国家相关要求，验收达到合格标准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联系电话：18829023286</w:t>
      </w:r>
    </w:p>
    <w:p>
      <w:pPr>
        <w:pStyle w:val="null3"/>
      </w:pPr>
      <w:r>
        <w:rPr>
          <w:rFonts w:ascii="仿宋_GB2312" w:hAnsi="仿宋_GB2312" w:cs="仿宋_GB2312" w:eastAsia="仿宋_GB2312"/>
        </w:rPr>
        <w:t>地址：陕西省西安市未央区西安经济技术开发区明光路 55 号天朗经开中心 6 层605室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新生儿转运系统及吊塔</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新生儿转运系统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吊塔</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组</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标的名称：新生儿转运系统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8"/>
                <w:b/>
              </w:rPr>
              <w:t>婴儿转运培养箱（一台）（核心产品）</w:t>
            </w:r>
          </w:p>
          <w:p>
            <w:pPr>
              <w:pStyle w:val="null3"/>
              <w:numPr>
                <w:ilvl w:val="0"/>
                <w:numId w:val="2"/>
              </w:numPr>
              <w:jc w:val="both"/>
            </w:pPr>
            <w:r>
              <w:rPr>
                <w:rFonts w:ascii="仿宋_GB2312" w:hAnsi="仿宋_GB2312" w:cs="仿宋_GB2312" w:eastAsia="仿宋_GB2312"/>
                <w:sz w:val="24"/>
              </w:rPr>
              <w:t>彩色触摸显示屏</w:t>
            </w:r>
            <w:r>
              <w:rPr>
                <w:rFonts w:ascii="仿宋_GB2312" w:hAnsi="仿宋_GB2312" w:cs="仿宋_GB2312" w:eastAsia="仿宋_GB2312"/>
                <w:sz w:val="24"/>
              </w:rPr>
              <w:t>≥7英寸；</w:t>
            </w:r>
          </w:p>
          <w:p>
            <w:pPr>
              <w:pStyle w:val="null3"/>
              <w:numPr>
                <w:ilvl w:val="0"/>
                <w:numId w:val="2"/>
              </w:numPr>
              <w:jc w:val="left"/>
            </w:pPr>
            <w:r>
              <w:rPr>
                <w:rFonts w:ascii="仿宋_GB2312" w:hAnsi="仿宋_GB2312" w:cs="仿宋_GB2312" w:eastAsia="仿宋_GB2312"/>
                <w:sz w:val="24"/>
              </w:rPr>
              <w:t>箱温控制范围：</w:t>
            </w:r>
            <w:r>
              <w:rPr>
                <w:rFonts w:ascii="仿宋_GB2312" w:hAnsi="仿宋_GB2312" w:cs="仿宋_GB2312" w:eastAsia="仿宋_GB2312"/>
                <w:sz w:val="24"/>
              </w:rPr>
              <w:t>20℃～39℃；</w:t>
            </w:r>
          </w:p>
          <w:p>
            <w:pPr>
              <w:pStyle w:val="null3"/>
              <w:numPr>
                <w:ilvl w:val="0"/>
                <w:numId w:val="2"/>
              </w:numPr>
              <w:jc w:val="left"/>
            </w:pPr>
            <w:r>
              <w:rPr>
                <w:rFonts w:ascii="仿宋_GB2312" w:hAnsi="仿宋_GB2312" w:cs="仿宋_GB2312" w:eastAsia="仿宋_GB2312"/>
                <w:sz w:val="24"/>
              </w:rPr>
              <w:t>肤温控制范围：</w:t>
            </w:r>
            <w:r>
              <w:rPr>
                <w:rFonts w:ascii="仿宋_GB2312" w:hAnsi="仿宋_GB2312" w:cs="仿宋_GB2312" w:eastAsia="仿宋_GB2312"/>
                <w:sz w:val="24"/>
              </w:rPr>
              <w:t>34℃～38℃；</w:t>
            </w:r>
          </w:p>
          <w:p>
            <w:pPr>
              <w:pStyle w:val="null3"/>
              <w:numPr>
                <w:ilvl w:val="0"/>
                <w:numId w:val="2"/>
              </w:numPr>
              <w:jc w:val="left"/>
            </w:pPr>
            <w:r>
              <w:rPr>
                <w:rFonts w:ascii="仿宋_GB2312" w:hAnsi="仿宋_GB2312" w:cs="仿宋_GB2312" w:eastAsia="仿宋_GB2312"/>
                <w:sz w:val="24"/>
              </w:rPr>
              <w:t>具有交流、车载直流、电池三种供电方式，支持车载</w:t>
            </w:r>
            <w:r>
              <w:rPr>
                <w:rFonts w:ascii="仿宋_GB2312" w:hAnsi="仿宋_GB2312" w:cs="仿宋_GB2312" w:eastAsia="仿宋_GB2312"/>
                <w:sz w:val="24"/>
              </w:rPr>
              <w:t>12V/24V电源输入；</w:t>
            </w:r>
          </w:p>
          <w:p>
            <w:pPr>
              <w:pStyle w:val="null3"/>
              <w:numPr>
                <w:ilvl w:val="0"/>
                <w:numId w:val="2"/>
              </w:numPr>
              <w:jc w:val="both"/>
            </w:pPr>
            <w:r>
              <w:rPr>
                <w:rFonts w:ascii="仿宋_GB2312" w:hAnsi="仿宋_GB2312" w:cs="仿宋_GB2312" w:eastAsia="仿宋_GB2312"/>
                <w:sz w:val="24"/>
              </w:rPr>
              <w:t>▲</w:t>
            </w:r>
            <w:r>
              <w:rPr>
                <w:rFonts w:ascii="仿宋_GB2312" w:hAnsi="仿宋_GB2312" w:cs="仿宋_GB2312" w:eastAsia="仿宋_GB2312"/>
                <w:sz w:val="24"/>
              </w:rPr>
              <w:t>内置电池，续航工作时间</w:t>
            </w:r>
            <w:r>
              <w:rPr>
                <w:rFonts w:ascii="仿宋_GB2312" w:hAnsi="仿宋_GB2312" w:cs="仿宋_GB2312" w:eastAsia="仿宋_GB2312"/>
                <w:sz w:val="24"/>
              </w:rPr>
              <w:t>≥5小时；</w:t>
            </w:r>
          </w:p>
          <w:p>
            <w:pPr>
              <w:pStyle w:val="null3"/>
              <w:numPr>
                <w:ilvl w:val="0"/>
                <w:numId w:val="2"/>
              </w:numPr>
              <w:jc w:val="both"/>
            </w:pPr>
            <w:r>
              <w:rPr>
                <w:rFonts w:ascii="仿宋_GB2312" w:hAnsi="仿宋_GB2312" w:cs="仿宋_GB2312" w:eastAsia="仿宋_GB2312"/>
                <w:sz w:val="24"/>
              </w:rPr>
              <w:t>主机内置双氧气瓶，单瓶</w:t>
            </w:r>
            <w:r>
              <w:rPr>
                <w:rFonts w:ascii="仿宋_GB2312" w:hAnsi="仿宋_GB2312" w:cs="仿宋_GB2312" w:eastAsia="仿宋_GB2312"/>
                <w:sz w:val="24"/>
              </w:rPr>
              <w:t>≥4升；</w:t>
            </w:r>
          </w:p>
          <w:p>
            <w:pPr>
              <w:pStyle w:val="null3"/>
              <w:numPr>
                <w:ilvl w:val="0"/>
                <w:numId w:val="2"/>
              </w:numPr>
              <w:jc w:val="both"/>
            </w:pPr>
            <w:r>
              <w:rPr>
                <w:rFonts w:ascii="仿宋_GB2312" w:hAnsi="仿宋_GB2312" w:cs="仿宋_GB2312" w:eastAsia="仿宋_GB2312"/>
                <w:sz w:val="24"/>
              </w:rPr>
              <w:t>双层恒温罩，开有侧门，婴儿床可从侧面拉出；</w:t>
            </w:r>
          </w:p>
          <w:p>
            <w:pPr>
              <w:pStyle w:val="null3"/>
              <w:numPr>
                <w:ilvl w:val="0"/>
                <w:numId w:val="2"/>
              </w:numPr>
              <w:jc w:val="both"/>
            </w:pPr>
            <w:r>
              <w:rPr>
                <w:rFonts w:ascii="仿宋_GB2312" w:hAnsi="仿宋_GB2312" w:cs="仿宋_GB2312" w:eastAsia="仿宋_GB2312"/>
                <w:sz w:val="24"/>
              </w:rPr>
              <w:t>配备电动担架车，高度可调；</w:t>
            </w:r>
          </w:p>
          <w:p>
            <w:pPr>
              <w:pStyle w:val="null3"/>
              <w:numPr>
                <w:ilvl w:val="0"/>
                <w:numId w:val="2"/>
              </w:numPr>
              <w:jc w:val="both"/>
            </w:pPr>
            <w:r>
              <w:rPr>
                <w:rFonts w:ascii="仿宋_GB2312" w:hAnsi="仿宋_GB2312" w:cs="仿宋_GB2312" w:eastAsia="仿宋_GB2312"/>
                <w:sz w:val="24"/>
              </w:rPr>
              <w:t>需在指定救护车上配备转运暖箱轨道。</w:t>
            </w:r>
          </w:p>
          <w:p>
            <w:pPr>
              <w:pStyle w:val="null3"/>
              <w:numPr>
                <w:ilvl w:val="0"/>
                <w:numId w:val="1"/>
              </w:numPr>
              <w:jc w:val="both"/>
            </w:pPr>
            <w:r>
              <w:rPr>
                <w:rFonts w:ascii="仿宋_GB2312" w:hAnsi="仿宋_GB2312" w:cs="仿宋_GB2312" w:eastAsia="仿宋_GB2312"/>
                <w:sz w:val="28"/>
                <w:b/>
              </w:rPr>
              <w:t>T</w:t>
            </w:r>
            <w:r>
              <w:rPr>
                <w:rFonts w:ascii="仿宋_GB2312" w:hAnsi="仿宋_GB2312" w:cs="仿宋_GB2312" w:eastAsia="仿宋_GB2312"/>
                <w:sz w:val="28"/>
                <w:b/>
              </w:rPr>
              <w:t>组合复苏器（一台）</w:t>
            </w:r>
          </w:p>
          <w:p>
            <w:pPr>
              <w:pStyle w:val="null3"/>
              <w:numPr>
                <w:ilvl w:val="0"/>
                <w:numId w:val="2"/>
              </w:numPr>
              <w:jc w:val="both"/>
            </w:pPr>
            <w:r>
              <w:rPr>
                <w:rFonts w:ascii="仿宋_GB2312" w:hAnsi="仿宋_GB2312" w:cs="仿宋_GB2312" w:eastAsia="仿宋_GB2312"/>
                <w:sz w:val="24"/>
              </w:rPr>
              <w:t>▲</w:t>
            </w:r>
            <w:r>
              <w:rPr>
                <w:rFonts w:ascii="仿宋_GB2312" w:hAnsi="仿宋_GB2312" w:cs="仿宋_GB2312" w:eastAsia="仿宋_GB2312"/>
                <w:sz w:val="24"/>
              </w:rPr>
              <w:t>用于早产儿、足月儿的窒息复苏抢救，适用婴儿体重范围</w:t>
            </w:r>
            <w:r>
              <w:rPr>
                <w:rFonts w:ascii="仿宋_GB2312" w:hAnsi="仿宋_GB2312" w:cs="仿宋_GB2312" w:eastAsia="仿宋_GB2312"/>
                <w:sz w:val="24"/>
              </w:rPr>
              <w:t>≤10kg。</w:t>
            </w:r>
          </w:p>
          <w:p>
            <w:pPr>
              <w:pStyle w:val="null3"/>
              <w:numPr>
                <w:ilvl w:val="0"/>
                <w:numId w:val="2"/>
              </w:numPr>
              <w:jc w:val="both"/>
            </w:pPr>
            <w:r>
              <w:rPr>
                <w:rFonts w:ascii="仿宋_GB2312" w:hAnsi="仿宋_GB2312" w:cs="仿宋_GB2312" w:eastAsia="仿宋_GB2312"/>
                <w:sz w:val="24"/>
              </w:rPr>
              <w:t>内置负压吸引装置，吸痰压力范围：</w:t>
            </w:r>
            <w:r>
              <w:rPr>
                <w:rFonts w:ascii="仿宋_GB2312" w:hAnsi="仿宋_GB2312" w:cs="仿宋_GB2312" w:eastAsia="仿宋_GB2312"/>
                <w:sz w:val="24"/>
              </w:rPr>
              <w:t>-150mmHg-0mmHg</w:t>
            </w:r>
            <w:r>
              <w:rPr>
                <w:rFonts w:ascii="仿宋_GB2312" w:hAnsi="仿宋_GB2312" w:cs="仿宋_GB2312" w:eastAsia="仿宋_GB2312"/>
                <w:sz w:val="24"/>
              </w:rPr>
              <w:t>，</w:t>
            </w:r>
            <w:r>
              <w:rPr>
                <w:rFonts w:ascii="仿宋_GB2312" w:hAnsi="仿宋_GB2312" w:cs="仿宋_GB2312" w:eastAsia="仿宋_GB2312"/>
                <w:sz w:val="24"/>
              </w:rPr>
              <w:t>或</w:t>
            </w:r>
            <w:r>
              <w:rPr>
                <w:rFonts w:ascii="仿宋_GB2312" w:hAnsi="仿宋_GB2312" w:cs="仿宋_GB2312" w:eastAsia="仿宋_GB2312"/>
                <w:sz w:val="24"/>
              </w:rPr>
              <w:t>T组合复苏期配备负压吸引器；</w:t>
            </w:r>
          </w:p>
          <w:p>
            <w:pPr>
              <w:pStyle w:val="null3"/>
              <w:numPr>
                <w:ilvl w:val="0"/>
                <w:numId w:val="1"/>
              </w:numPr>
              <w:jc w:val="both"/>
            </w:pPr>
            <w:r>
              <w:rPr>
                <w:rFonts w:ascii="仿宋_GB2312" w:hAnsi="仿宋_GB2312" w:cs="仿宋_GB2312" w:eastAsia="仿宋_GB2312"/>
                <w:sz w:val="28"/>
                <w:b/>
              </w:rPr>
              <w:t>转运监护仪（一台）</w:t>
            </w:r>
          </w:p>
          <w:p>
            <w:pPr>
              <w:pStyle w:val="null3"/>
              <w:numPr>
                <w:ilvl w:val="0"/>
                <w:numId w:val="2"/>
              </w:numPr>
              <w:jc w:val="both"/>
            </w:pPr>
            <w:r>
              <w:rPr>
                <w:rFonts w:ascii="仿宋_GB2312" w:hAnsi="仿宋_GB2312" w:cs="仿宋_GB2312" w:eastAsia="仿宋_GB2312"/>
                <w:sz w:val="24"/>
              </w:rPr>
              <w:t>新生儿专用监护仪。</w:t>
            </w:r>
          </w:p>
          <w:p>
            <w:pPr>
              <w:pStyle w:val="null3"/>
              <w:numPr>
                <w:ilvl w:val="0"/>
                <w:numId w:val="2"/>
              </w:numPr>
              <w:jc w:val="both"/>
            </w:pPr>
            <w:r>
              <w:rPr>
                <w:rFonts w:ascii="仿宋_GB2312" w:hAnsi="仿宋_GB2312" w:cs="仿宋_GB2312" w:eastAsia="仿宋_GB2312"/>
                <w:sz w:val="24"/>
              </w:rPr>
              <w:t>主机配置一块锂电池工作时间</w:t>
            </w:r>
            <w:r>
              <w:rPr>
                <w:rFonts w:ascii="仿宋_GB2312" w:hAnsi="仿宋_GB2312" w:cs="仿宋_GB2312" w:eastAsia="仿宋_GB2312"/>
                <w:sz w:val="24"/>
              </w:rPr>
              <w:t>≥8小时</w:t>
            </w:r>
          </w:p>
          <w:p>
            <w:pPr>
              <w:pStyle w:val="null3"/>
              <w:numPr>
                <w:ilvl w:val="0"/>
                <w:numId w:val="2"/>
              </w:numPr>
              <w:jc w:val="both"/>
            </w:pPr>
            <w:r>
              <w:rPr>
                <w:rFonts w:ascii="仿宋_GB2312" w:hAnsi="仿宋_GB2312" w:cs="仿宋_GB2312" w:eastAsia="仿宋_GB2312"/>
                <w:sz w:val="24"/>
              </w:rPr>
              <w:t>▲</w:t>
            </w:r>
            <w:r>
              <w:rPr>
                <w:rFonts w:ascii="仿宋_GB2312" w:hAnsi="仿宋_GB2312" w:cs="仿宋_GB2312" w:eastAsia="仿宋_GB2312"/>
                <w:sz w:val="24"/>
              </w:rPr>
              <w:t>可监测心电、血氧、脉博、无创血压、呼吸、体温等基础参数，可升级</w:t>
            </w:r>
            <w:r>
              <w:rPr>
                <w:rFonts w:ascii="仿宋_GB2312" w:hAnsi="仿宋_GB2312" w:cs="仿宋_GB2312" w:eastAsia="仿宋_GB2312"/>
                <w:sz w:val="24"/>
              </w:rPr>
              <w:t>Masimo/Nellcor SPO2、2IBP、ETCO2、CO、AG、麻醉深度、氧浓度监测、窒息唤醒等参数模块</w:t>
            </w:r>
          </w:p>
          <w:p>
            <w:pPr>
              <w:pStyle w:val="null3"/>
              <w:numPr>
                <w:ilvl w:val="0"/>
                <w:numId w:val="1"/>
              </w:numPr>
              <w:jc w:val="both"/>
            </w:pPr>
            <w:r>
              <w:rPr>
                <w:rFonts w:ascii="仿宋_GB2312" w:hAnsi="仿宋_GB2312" w:cs="仿宋_GB2312" w:eastAsia="仿宋_GB2312"/>
                <w:sz w:val="28"/>
                <w:b/>
              </w:rPr>
              <w:t>转运呼吸机（一台）（核心产品）</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、新生儿转运呼吸机，支持有创及无创通气模式，提供正压通气辅助及呼吸支持；</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、支持双管路通气；</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有创通气模式：具有压力及容量控制通气下的辅助控制通气和同步间歇指令通气模式（</w:t>
            </w:r>
            <w:r>
              <w:rPr>
                <w:rFonts w:ascii="仿宋_GB2312" w:hAnsi="仿宋_GB2312" w:cs="仿宋_GB2312" w:eastAsia="仿宋_GB2312"/>
                <w:sz w:val="24"/>
              </w:rPr>
              <w:t>V-A/C、P-A/C、V-SIMV、P-SIMV）、压力调节容量控制和同步间歇指令通气模式（PRVC、PRVC-SIMV）、CPAP/PSV（持续气道正压通气模式/压力支持通气模式）、双水平气道正压通气以及窒息通气等模式</w:t>
            </w:r>
          </w:p>
          <w:p>
            <w:pPr>
              <w:pStyle w:val="null3"/>
              <w:ind w:left="420"/>
              <w:jc w:val="both"/>
            </w:pPr>
            <w:r>
              <w:rPr>
                <w:rFonts w:ascii="仿宋_GB2312" w:hAnsi="仿宋_GB2312" w:cs="仿宋_GB2312" w:eastAsia="仿宋_GB2312"/>
                <w:sz w:val="24"/>
              </w:rPr>
              <w:t>4、新生儿单支管路无创通气模式：NCPAP、NIPPV</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潮气量：新生儿：</w:t>
            </w:r>
            <w:r>
              <w:rPr>
                <w:rFonts w:ascii="仿宋_GB2312" w:hAnsi="仿宋_GB2312" w:cs="仿宋_GB2312" w:eastAsia="仿宋_GB2312"/>
                <w:sz w:val="24"/>
              </w:rPr>
              <w:t>2.0 mL～300mL；流量传感器要求实现近端监测。</w:t>
            </w:r>
          </w:p>
          <w:p>
            <w:pPr>
              <w:pStyle w:val="null3"/>
              <w:ind w:left="420"/>
              <w:jc w:val="both"/>
            </w:pPr>
            <w:r>
              <w:rPr>
                <w:rFonts w:ascii="仿宋_GB2312" w:hAnsi="仿宋_GB2312" w:cs="仿宋_GB2312" w:eastAsia="仿宋_GB2312"/>
                <w:sz w:val="24"/>
              </w:rPr>
              <w:t>6、 呼吸频率：新生儿：1/min～150/min；</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1"/>
              </w:rPr>
              <w:t xml:space="preserve"> </w:t>
            </w:r>
            <w:r>
              <w:rPr>
                <w:rFonts w:ascii="仿宋_GB2312" w:hAnsi="仿宋_GB2312" w:cs="仿宋_GB2312" w:eastAsia="仿宋_GB2312"/>
                <w:sz w:val="24"/>
              </w:rPr>
              <w:t>呼末正压：新生儿：</w:t>
            </w:r>
            <w:r>
              <w:rPr>
                <w:rFonts w:ascii="仿宋_GB2312" w:hAnsi="仿宋_GB2312" w:cs="仿宋_GB2312" w:eastAsia="仿宋_GB2312"/>
                <w:sz w:val="24"/>
              </w:rPr>
              <w:t>0 cmH2O～25cmH2O；</w:t>
            </w:r>
          </w:p>
          <w:p>
            <w:pPr>
              <w:pStyle w:val="null3"/>
              <w:numPr>
                <w:ilvl w:val="0"/>
                <w:numId w:val="1"/>
              </w:numPr>
              <w:jc w:val="both"/>
            </w:pPr>
            <w:r>
              <w:rPr>
                <w:rFonts w:ascii="仿宋_GB2312" w:hAnsi="仿宋_GB2312" w:cs="仿宋_GB2312" w:eastAsia="仿宋_GB2312"/>
                <w:sz w:val="28"/>
                <w:b/>
              </w:rPr>
              <w:t>注射泵（两台）</w:t>
            </w:r>
          </w:p>
          <w:p>
            <w:pPr>
              <w:pStyle w:val="null3"/>
              <w:numPr>
                <w:ilvl w:val="0"/>
                <w:numId w:val="2"/>
              </w:numPr>
              <w:jc w:val="both"/>
            </w:pPr>
            <w:r>
              <w:rPr>
                <w:rFonts w:ascii="仿宋_GB2312" w:hAnsi="仿宋_GB2312" w:cs="仿宋_GB2312" w:eastAsia="仿宋_GB2312"/>
                <w:sz w:val="24"/>
              </w:rPr>
              <w:t>通过</w:t>
            </w:r>
            <w:r>
              <w:rPr>
                <w:rFonts w:ascii="仿宋_GB2312" w:hAnsi="仿宋_GB2312" w:cs="仿宋_GB2312" w:eastAsia="仿宋_GB2312"/>
                <w:sz w:val="24"/>
              </w:rPr>
              <w:t>EN1789 标准认证，适合在救护车使用。</w:t>
            </w:r>
          </w:p>
          <w:p>
            <w:pPr>
              <w:pStyle w:val="null3"/>
              <w:numPr>
                <w:ilvl w:val="0"/>
                <w:numId w:val="2"/>
              </w:numPr>
              <w:jc w:val="both"/>
            </w:pPr>
            <w:r>
              <w:rPr>
                <w:rFonts w:ascii="仿宋_GB2312" w:hAnsi="仿宋_GB2312" w:cs="仿宋_GB2312" w:eastAsia="仿宋_GB2312"/>
                <w:sz w:val="24"/>
              </w:rPr>
              <w:t>≥3.5英寸电容触摸屏，内置电池工作时间≥10小时（5ml/h）。</w:t>
            </w:r>
          </w:p>
          <w:p>
            <w:pPr>
              <w:pStyle w:val="null3"/>
              <w:numPr>
                <w:ilvl w:val="0"/>
                <w:numId w:val="2"/>
              </w:numPr>
              <w:jc w:val="both"/>
            </w:pPr>
            <w:r>
              <w:rPr>
                <w:rFonts w:ascii="仿宋_GB2312" w:hAnsi="仿宋_GB2312" w:cs="仿宋_GB2312" w:eastAsia="仿宋_GB2312"/>
                <w:sz w:val="24"/>
              </w:rPr>
              <w:t>需和输液泵进行叠机放置</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8"/>
                <w:b/>
              </w:rPr>
              <w:t>输液泵（一台）</w:t>
            </w:r>
          </w:p>
          <w:p>
            <w:pPr>
              <w:pStyle w:val="null3"/>
              <w:numPr>
                <w:ilvl w:val="0"/>
                <w:numId w:val="2"/>
              </w:numPr>
              <w:jc w:val="both"/>
            </w:pPr>
            <w:r>
              <w:rPr>
                <w:rFonts w:ascii="仿宋_GB2312" w:hAnsi="仿宋_GB2312" w:cs="仿宋_GB2312" w:eastAsia="仿宋_GB2312"/>
                <w:sz w:val="24"/>
              </w:rPr>
              <w:t>通过</w:t>
            </w:r>
            <w:r>
              <w:rPr>
                <w:rFonts w:ascii="仿宋_GB2312" w:hAnsi="仿宋_GB2312" w:cs="仿宋_GB2312" w:eastAsia="仿宋_GB2312"/>
                <w:sz w:val="24"/>
              </w:rPr>
              <w:t>EN1789 标准认证，适合在救护车使用。</w:t>
            </w:r>
          </w:p>
          <w:p>
            <w:pPr>
              <w:pStyle w:val="null3"/>
              <w:numPr>
                <w:ilvl w:val="0"/>
                <w:numId w:val="2"/>
              </w:numPr>
              <w:jc w:val="both"/>
            </w:pPr>
            <w:r>
              <w:rPr>
                <w:rFonts w:ascii="仿宋_GB2312" w:hAnsi="仿宋_GB2312" w:cs="仿宋_GB2312" w:eastAsia="仿宋_GB2312"/>
                <w:sz w:val="24"/>
              </w:rPr>
              <w:t>≥3.5英寸电容触摸屏，内置电池工作时间≥9小时（25ml/h）。</w:t>
            </w:r>
          </w:p>
          <w:p>
            <w:pPr>
              <w:pStyle w:val="null3"/>
              <w:numPr>
                <w:ilvl w:val="0"/>
                <w:numId w:val="2"/>
              </w:numPr>
              <w:jc w:val="both"/>
            </w:pPr>
            <w:r>
              <w:rPr>
                <w:rFonts w:ascii="仿宋_GB2312" w:hAnsi="仿宋_GB2312" w:cs="仿宋_GB2312" w:eastAsia="仿宋_GB2312"/>
                <w:sz w:val="24"/>
              </w:rPr>
              <w:t>需和注射泵进行叠机放置</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8"/>
                <w:b/>
              </w:rPr>
              <w:t>配套</w:t>
            </w:r>
            <w:r>
              <w:rPr>
                <w:rFonts w:ascii="仿宋_GB2312" w:hAnsi="仿宋_GB2312" w:cs="仿宋_GB2312" w:eastAsia="仿宋_GB2312"/>
                <w:sz w:val="28"/>
                <w:b/>
              </w:rPr>
              <w:t>湿化器（一套）</w:t>
            </w:r>
          </w:p>
          <w:p>
            <w:pPr>
              <w:pStyle w:val="null3"/>
              <w:jc w:val="both"/>
            </w:pPr>
            <w:r>
              <w:rPr>
                <w:rFonts w:ascii="仿宋_GB2312" w:hAnsi="仿宋_GB2312" w:cs="仿宋_GB2312" w:eastAsia="仿宋_GB2312"/>
                <w:sz w:val="24"/>
              </w:rPr>
              <w:t>需安全放置于电动担架车，用于吸入气体的加湿加温。</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标的名称：吊塔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本产品为核心产品</w:t>
            </w:r>
            <w:r>
              <w:rPr>
                <w:rFonts w:ascii="仿宋_GB2312" w:hAnsi="仿宋_GB2312" w:cs="仿宋_GB2312" w:eastAsia="仿宋_GB2312"/>
                <w:sz w:val="21"/>
              </w:rPr>
              <w:t xml:space="preserve"> </w:t>
            </w:r>
          </w:p>
          <w:p>
            <w:pPr>
              <w:pStyle w:val="null3"/>
              <w:numPr>
                <w:ilvl w:val="0"/>
                <w:numId w:val="2"/>
              </w:numPr>
              <w:spacing w:after="150"/>
              <w:jc w:val="both"/>
            </w:pPr>
            <w:r>
              <w:rPr>
                <w:rFonts w:ascii="仿宋_GB2312" w:hAnsi="仿宋_GB2312" w:cs="仿宋_GB2312" w:eastAsia="仿宋_GB2312"/>
                <w:sz w:val="24"/>
              </w:rPr>
              <w:t>桥架：长度</w:t>
            </w:r>
            <w:r>
              <w:rPr>
                <w:rFonts w:ascii="仿宋_GB2312" w:hAnsi="仿宋_GB2312" w:cs="仿宋_GB2312" w:eastAsia="仿宋_GB2312"/>
                <w:sz w:val="24"/>
              </w:rPr>
              <w:t>2000—2200mm</w:t>
            </w:r>
          </w:p>
          <w:p>
            <w:pPr>
              <w:pStyle w:val="null3"/>
              <w:numPr>
                <w:ilvl w:val="0"/>
                <w:numId w:val="2"/>
              </w:numPr>
              <w:spacing w:after="150"/>
              <w:jc w:val="both"/>
            </w:pPr>
            <w:r>
              <w:rPr>
                <w:rFonts w:ascii="仿宋_GB2312" w:hAnsi="仿宋_GB2312" w:cs="仿宋_GB2312" w:eastAsia="仿宋_GB2312"/>
                <w:sz w:val="24"/>
              </w:rPr>
              <w:t>▲接地端子*2 个</w:t>
            </w:r>
            <w:r>
              <w:rPr>
                <w:rFonts w:ascii="仿宋_GB2312" w:hAnsi="仿宋_GB2312" w:cs="仿宋_GB2312" w:eastAsia="仿宋_GB2312"/>
                <w:sz w:val="24"/>
              </w:rPr>
              <w:t>，</w:t>
            </w:r>
            <w:r>
              <w:rPr>
                <w:rFonts w:ascii="仿宋_GB2312" w:hAnsi="仿宋_GB2312" w:cs="仿宋_GB2312" w:eastAsia="仿宋_GB2312"/>
                <w:sz w:val="24"/>
              </w:rPr>
              <w:t>氧气终端</w:t>
            </w:r>
            <w:r>
              <w:rPr>
                <w:rFonts w:ascii="仿宋_GB2312" w:hAnsi="仿宋_GB2312" w:cs="仿宋_GB2312" w:eastAsia="仿宋_GB2312"/>
                <w:sz w:val="24"/>
              </w:rPr>
              <w:t>*2个、负压吸引终端*2个，压缩空气端*2个</w:t>
            </w:r>
            <w:r>
              <w:rPr>
                <w:rFonts w:ascii="仿宋_GB2312" w:hAnsi="仿宋_GB2312" w:cs="仿宋_GB2312" w:eastAsia="仿宋_GB2312"/>
                <w:sz w:val="24"/>
              </w:rPr>
              <w:t>，</w:t>
            </w:r>
            <w:r>
              <w:rPr>
                <w:rFonts w:ascii="仿宋_GB2312" w:hAnsi="仿宋_GB2312" w:cs="仿宋_GB2312" w:eastAsia="仿宋_GB2312"/>
                <w:sz w:val="24"/>
              </w:rPr>
              <w:t>网络接口</w:t>
            </w:r>
            <w:r>
              <w:rPr>
                <w:rFonts w:ascii="仿宋_GB2312" w:hAnsi="仿宋_GB2312" w:cs="仿宋_GB2312" w:eastAsia="仿宋_GB2312"/>
                <w:sz w:val="24"/>
              </w:rPr>
              <w:t>*2个</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吊塔主体：吊塔的箱体采用</w:t>
            </w:r>
            <w:r>
              <w:rPr>
                <w:rFonts w:ascii="仿宋_GB2312" w:hAnsi="仿宋_GB2312" w:cs="仿宋_GB2312" w:eastAsia="仿宋_GB2312"/>
                <w:sz w:val="24"/>
              </w:rPr>
              <w:t>6005 铝合金型材，加工级别达到 T6，抗拉强度（Rm) ≥260MPa。(</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吊塔采用密封性设计，吊塔表面采用高压静电喷涂环保粉末材料工艺</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吊塔表面采用优质环保抗菌塑粉并加入抑菌银粉成分，其具有表面抑制细菌再生作用，对大肠杆菌及金黄色葡萄球菌抗菌率</w:t>
            </w:r>
            <w:r>
              <w:rPr>
                <w:rFonts w:ascii="仿宋_GB2312" w:hAnsi="仿宋_GB2312" w:cs="仿宋_GB2312" w:eastAsia="仿宋_GB2312"/>
                <w:sz w:val="24"/>
              </w:rPr>
              <w:t>≥99.99%。（</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吊塔外壳防火等级</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UL94-V0 级。(</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箱体基座</w:t>
            </w:r>
            <w:r>
              <w:rPr>
                <w:rFonts w:ascii="仿宋_GB2312" w:hAnsi="仿宋_GB2312" w:cs="仿宋_GB2312" w:eastAsia="仿宋_GB2312"/>
                <w:sz w:val="24"/>
              </w:rPr>
              <w:t>*1 组：长度≥1000mm</w:t>
            </w:r>
            <w:r>
              <w:rPr>
                <w:rFonts w:ascii="仿宋_GB2312" w:hAnsi="仿宋_GB2312" w:cs="仿宋_GB2312" w:eastAsia="仿宋_GB2312"/>
                <w:sz w:val="21"/>
              </w:rPr>
              <w:t xml:space="preserve"> </w:t>
            </w:r>
            <w:r>
              <w:rPr>
                <w:rFonts w:ascii="仿宋_GB2312" w:hAnsi="仿宋_GB2312" w:cs="仿宋_GB2312" w:eastAsia="仿宋_GB2312"/>
                <w:sz w:val="24"/>
              </w:rPr>
              <w:t>，可旋转角度：</w:t>
            </w:r>
            <w:r>
              <w:rPr>
                <w:rFonts w:ascii="仿宋_GB2312" w:hAnsi="仿宋_GB2312" w:cs="仿宋_GB2312" w:eastAsia="仿宋_GB2312"/>
                <w:sz w:val="24"/>
              </w:rPr>
              <w:t>0-350度</w:t>
            </w:r>
            <w:r>
              <w:rPr>
                <w:rFonts w:ascii="仿宋_GB2312" w:hAnsi="仿宋_GB2312" w:cs="仿宋_GB2312" w:eastAsia="仿宋_GB2312"/>
                <w:sz w:val="24"/>
              </w:rPr>
              <w:t>，</w:t>
            </w:r>
            <w:r>
              <w:rPr>
                <w:rFonts w:ascii="仿宋_GB2312" w:hAnsi="仿宋_GB2312" w:cs="仿宋_GB2312" w:eastAsia="仿宋_GB2312"/>
                <w:sz w:val="24"/>
              </w:rPr>
              <w:t>可滑动</w:t>
            </w:r>
            <w:r>
              <w:rPr>
                <w:rFonts w:ascii="仿宋_GB2312" w:hAnsi="仿宋_GB2312" w:cs="仿宋_GB2312" w:eastAsia="仿宋_GB2312"/>
                <w:sz w:val="24"/>
              </w:rPr>
              <w:t>≥800mm</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吊桥箱体平移范围</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800mm</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▲主桥总负载能力：≥</w:t>
            </w:r>
            <w:r>
              <w:rPr>
                <w:rFonts w:ascii="仿宋_GB2312" w:hAnsi="仿宋_GB2312" w:cs="仿宋_GB2312" w:eastAsia="仿宋_GB2312"/>
                <w:sz w:val="21"/>
              </w:rPr>
              <w:t xml:space="preserve"> </w:t>
            </w:r>
            <w:r>
              <w:rPr>
                <w:rFonts w:ascii="仿宋_GB2312" w:hAnsi="仿宋_GB2312" w:cs="仿宋_GB2312" w:eastAsia="仿宋_GB2312"/>
                <w:sz w:val="24"/>
              </w:rPr>
              <w:t>350kg</w:t>
            </w:r>
            <w:r>
              <w:rPr>
                <w:rFonts w:ascii="仿宋_GB2312" w:hAnsi="仿宋_GB2312" w:cs="仿宋_GB2312" w:eastAsia="仿宋_GB2312"/>
                <w:sz w:val="21"/>
              </w:rPr>
              <w:t xml:space="preserve"> </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吊塔箱体旋转机构：耐受静载荷</w:t>
            </w:r>
            <w:r>
              <w:rPr>
                <w:rFonts w:ascii="仿宋_GB2312" w:hAnsi="仿宋_GB2312" w:cs="仿宋_GB2312" w:eastAsia="仿宋_GB2312"/>
                <w:sz w:val="24"/>
              </w:rPr>
              <w:t xml:space="preserve">≥ 35KN </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气体终端配套的气体插头</w:t>
            </w:r>
            <w:r>
              <w:rPr>
                <w:rFonts w:ascii="仿宋_GB2312" w:hAnsi="仿宋_GB2312" w:cs="仿宋_GB2312" w:eastAsia="仿宋_GB2312"/>
                <w:sz w:val="24"/>
              </w:rPr>
              <w:t>为</w:t>
            </w:r>
            <w:r>
              <w:rPr>
                <w:rFonts w:ascii="仿宋_GB2312" w:hAnsi="仿宋_GB2312" w:cs="仿宋_GB2312" w:eastAsia="仿宋_GB2312"/>
                <w:sz w:val="24"/>
              </w:rPr>
              <w:t>德标气体终端</w:t>
            </w:r>
            <w:r>
              <w:rPr>
                <w:rFonts w:ascii="仿宋_GB2312" w:hAnsi="仿宋_GB2312" w:cs="仿宋_GB2312" w:eastAsia="仿宋_GB2312"/>
                <w:sz w:val="24"/>
              </w:rPr>
              <w:t>，</w:t>
            </w:r>
            <w:r>
              <w:rPr>
                <w:rFonts w:ascii="仿宋_GB2312" w:hAnsi="仿宋_GB2312" w:cs="仿宋_GB2312" w:eastAsia="仿宋_GB2312"/>
                <w:sz w:val="24"/>
              </w:rPr>
              <w:t>各种气体终端采用全铜材质，非工程塑料材质。</w:t>
            </w:r>
            <w:r>
              <w:rPr>
                <w:rFonts w:ascii="仿宋_GB2312" w:hAnsi="仿宋_GB2312" w:cs="仿宋_GB2312" w:eastAsia="仿宋_GB2312"/>
                <w:sz w:val="24"/>
              </w:rPr>
              <w:t>插拔次数</w:t>
            </w:r>
            <w:r>
              <w:rPr>
                <w:rFonts w:ascii="仿宋_GB2312" w:hAnsi="仿宋_GB2312" w:cs="仿宋_GB2312" w:eastAsia="仿宋_GB2312"/>
                <w:sz w:val="24"/>
              </w:rPr>
              <w:t>≥</w:t>
            </w:r>
            <w:r>
              <w:rPr>
                <w:rFonts w:ascii="仿宋_GB2312" w:hAnsi="仿宋_GB2312" w:cs="仿宋_GB2312" w:eastAsia="仿宋_GB2312"/>
                <w:sz w:val="24"/>
              </w:rPr>
              <w:t>80000次，通、断、拔三种状态能带气维修。(</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对地漏电流</w:t>
            </w:r>
            <w:r>
              <w:rPr>
                <w:rFonts w:ascii="仿宋_GB2312" w:hAnsi="仿宋_GB2312" w:cs="仿宋_GB2312" w:eastAsia="仿宋_GB2312"/>
                <w:sz w:val="24"/>
              </w:rPr>
              <w:t>:正常状态下，对地漏电流≤5mA；单一故障下，对地漏电流≤1</w:t>
            </w:r>
            <w:r>
              <w:rPr>
                <w:rFonts w:ascii="仿宋_GB2312" w:hAnsi="仿宋_GB2312" w:cs="仿宋_GB2312" w:eastAsia="仿宋_GB2312"/>
                <w:sz w:val="24"/>
              </w:rPr>
              <w:t>.</w:t>
            </w:r>
            <w:r>
              <w:rPr>
                <w:rFonts w:ascii="仿宋_GB2312" w:hAnsi="仿宋_GB2312" w:cs="仿宋_GB2312" w:eastAsia="仿宋_GB2312"/>
                <w:sz w:val="24"/>
              </w:rPr>
              <w:t>0mA(</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numPr>
                <w:ilvl w:val="0"/>
                <w:numId w:val="2"/>
              </w:numPr>
              <w:spacing w:before="180"/>
              <w:ind w:right="105"/>
              <w:jc w:val="both"/>
            </w:pPr>
            <w:r>
              <w:rPr>
                <w:rFonts w:ascii="仿宋_GB2312" w:hAnsi="仿宋_GB2312" w:cs="仿宋_GB2312" w:eastAsia="仿宋_GB2312"/>
                <w:sz w:val="24"/>
              </w:rPr>
              <w:t>▲</w:t>
            </w:r>
            <w:r>
              <w:rPr>
                <w:rFonts w:ascii="仿宋_GB2312" w:hAnsi="仿宋_GB2312" w:cs="仿宋_GB2312" w:eastAsia="仿宋_GB2312"/>
                <w:sz w:val="24"/>
              </w:rPr>
              <w:t>箱体为双腔结构，双侧为独立气体和电气箱体，中间为中空设计</w:t>
            </w:r>
            <w:r>
              <w:rPr>
                <w:rFonts w:ascii="仿宋_GB2312" w:hAnsi="仿宋_GB2312" w:cs="仿宋_GB2312" w:eastAsia="仿宋_GB2312"/>
                <w:sz w:val="24"/>
              </w:rPr>
              <w:t>(</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numPr>
                <w:ilvl w:val="0"/>
                <w:numId w:val="2"/>
              </w:numPr>
              <w:spacing w:before="180"/>
              <w:ind w:right="105"/>
              <w:jc w:val="both"/>
            </w:pPr>
            <w:r>
              <w:rPr>
                <w:rFonts w:ascii="仿宋_GB2312" w:hAnsi="仿宋_GB2312" w:cs="仿宋_GB2312" w:eastAsia="仿宋_GB2312"/>
                <w:sz w:val="24"/>
              </w:rPr>
              <w:t>▲</w:t>
            </w:r>
            <w:r>
              <w:rPr>
                <w:rFonts w:ascii="仿宋_GB2312" w:hAnsi="仿宋_GB2312" w:cs="仿宋_GB2312" w:eastAsia="仿宋_GB2312"/>
                <w:sz w:val="24"/>
              </w:rPr>
              <w:t>吊塔悬臂在设计载荷下，悬臂倾斜角度</w:t>
            </w:r>
            <w:r>
              <w:rPr>
                <w:rFonts w:ascii="仿宋_GB2312" w:hAnsi="仿宋_GB2312" w:cs="仿宋_GB2312" w:eastAsia="仿宋_GB2312"/>
                <w:sz w:val="24"/>
              </w:rPr>
              <w:t>≤2°(</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numPr>
                <w:ilvl w:val="0"/>
                <w:numId w:val="2"/>
              </w:numPr>
              <w:spacing w:before="180"/>
              <w:ind w:right="105"/>
              <w:jc w:val="both"/>
            </w:pPr>
            <w:r>
              <w:rPr>
                <w:rFonts w:ascii="仿宋_GB2312" w:hAnsi="仿宋_GB2312" w:cs="仿宋_GB2312" w:eastAsia="仿宋_GB2312"/>
                <w:sz w:val="24"/>
              </w:rPr>
              <w:t>箱体悬臂在设计载荷下，悬臂倾斜角度</w:t>
            </w:r>
            <w:r>
              <w:rPr>
                <w:rFonts w:ascii="仿宋_GB2312" w:hAnsi="仿宋_GB2312" w:cs="仿宋_GB2312" w:eastAsia="仿宋_GB2312"/>
                <w:sz w:val="24"/>
              </w:rPr>
              <w:t>≤2°(</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numPr>
                <w:ilvl w:val="0"/>
                <w:numId w:val="2"/>
              </w:numPr>
              <w:spacing w:before="180"/>
              <w:ind w:right="105"/>
              <w:jc w:val="both"/>
            </w:pPr>
            <w:r>
              <w:rPr>
                <w:rFonts w:ascii="仿宋_GB2312" w:hAnsi="仿宋_GB2312" w:cs="仿宋_GB2312" w:eastAsia="仿宋_GB2312"/>
                <w:sz w:val="24"/>
              </w:rPr>
              <w:t>电源插座：配备电源插座</w:t>
            </w:r>
            <w:r>
              <w:rPr>
                <w:rFonts w:ascii="仿宋_GB2312" w:hAnsi="仿宋_GB2312" w:cs="仿宋_GB2312" w:eastAsia="仿宋_GB2312"/>
                <w:sz w:val="24"/>
              </w:rPr>
              <w:t>≥12。</w:t>
            </w:r>
          </w:p>
          <w:p>
            <w:pPr>
              <w:pStyle w:val="null3"/>
              <w:numPr>
                <w:ilvl w:val="0"/>
                <w:numId w:val="2"/>
              </w:numPr>
              <w:spacing w:before="180"/>
              <w:ind w:right="105"/>
              <w:jc w:val="both"/>
            </w:pPr>
            <w:r>
              <w:rPr>
                <w:rFonts w:ascii="仿宋_GB2312" w:hAnsi="仿宋_GB2312" w:cs="仿宋_GB2312" w:eastAsia="仿宋_GB2312"/>
                <w:sz w:val="24"/>
              </w:rPr>
              <w:t>照明：配照明灯</w:t>
            </w:r>
            <w:r>
              <w:rPr>
                <w:rFonts w:ascii="仿宋_GB2312" w:hAnsi="仿宋_GB2312" w:cs="仿宋_GB2312" w:eastAsia="仿宋_GB2312"/>
                <w:sz w:val="24"/>
              </w:rPr>
              <w:t>3个，</w:t>
            </w:r>
            <w:r>
              <w:rPr>
                <w:rFonts w:ascii="仿宋_GB2312" w:hAnsi="仿宋_GB2312" w:cs="仿宋_GB2312" w:eastAsia="仿宋_GB2312"/>
                <w:sz w:val="24"/>
              </w:rPr>
              <w:t>开关</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个</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LED 小夜灯*1 个，与主桥一体化</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刹车装置：横向手动运行距离</w:t>
            </w:r>
            <w:r>
              <w:rPr>
                <w:rFonts w:ascii="仿宋_GB2312" w:hAnsi="仿宋_GB2312" w:cs="仿宋_GB2312" w:eastAsia="仿宋_GB2312"/>
                <w:sz w:val="24"/>
              </w:rPr>
              <w:t>±500mm，有机械刹车制动装置和阻尼装置，可以调节松紧。</w:t>
            </w:r>
          </w:p>
          <w:p>
            <w:pPr>
              <w:pStyle w:val="null3"/>
              <w:numPr>
                <w:ilvl w:val="0"/>
                <w:numId w:val="2"/>
              </w:numPr>
              <w:spacing w:after="150"/>
              <w:jc w:val="both"/>
            </w:pPr>
            <w:r>
              <w:rPr>
                <w:rFonts w:ascii="仿宋_GB2312" w:hAnsi="仿宋_GB2312" w:cs="仿宋_GB2312" w:eastAsia="仿宋_GB2312"/>
                <w:sz w:val="24"/>
              </w:rPr>
              <w:t>置物平台</w:t>
            </w:r>
            <w:r>
              <w:rPr>
                <w:rFonts w:ascii="仿宋_GB2312" w:hAnsi="仿宋_GB2312" w:cs="仿宋_GB2312" w:eastAsia="仿宋_GB2312"/>
                <w:sz w:val="24"/>
              </w:rPr>
              <w:t>，</w:t>
            </w:r>
            <w:r>
              <w:rPr>
                <w:rFonts w:ascii="仿宋_GB2312" w:hAnsi="仿宋_GB2312" w:cs="仿宋_GB2312" w:eastAsia="仿宋_GB2312"/>
                <w:sz w:val="24"/>
              </w:rPr>
              <w:t>规格</w:t>
            </w:r>
            <w:r>
              <w:rPr>
                <w:rFonts w:ascii="仿宋_GB2312" w:hAnsi="仿宋_GB2312" w:cs="仿宋_GB2312" w:eastAsia="仿宋_GB2312"/>
                <w:sz w:val="24"/>
              </w:rPr>
              <w:t>≥630*530mm</w:t>
            </w:r>
            <w:r>
              <w:rPr>
                <w:rFonts w:ascii="仿宋_GB2312" w:hAnsi="仿宋_GB2312" w:cs="仿宋_GB2312" w:eastAsia="仿宋_GB2312"/>
                <w:sz w:val="24"/>
              </w:rPr>
              <w:t>；</w:t>
            </w:r>
            <w:r>
              <w:rPr>
                <w:rFonts w:ascii="仿宋_GB2312" w:hAnsi="仿宋_GB2312" w:cs="仿宋_GB2312" w:eastAsia="仿宋_GB2312"/>
                <w:sz w:val="24"/>
              </w:rPr>
              <w:t>2个：</w:t>
            </w:r>
            <w:r>
              <w:rPr>
                <w:rFonts w:ascii="仿宋_GB2312" w:hAnsi="仿宋_GB2312" w:cs="仿宋_GB2312" w:eastAsia="仿宋_GB2312"/>
                <w:sz w:val="24"/>
              </w:rPr>
              <w:t>采用铝型材一体成型</w:t>
            </w:r>
            <w:r>
              <w:rPr>
                <w:rFonts w:ascii="仿宋_GB2312" w:hAnsi="仿宋_GB2312" w:cs="仿宋_GB2312" w:eastAsia="仿宋_GB2312"/>
                <w:sz w:val="24"/>
              </w:rPr>
              <w:t>，平台净载重量</w:t>
            </w:r>
            <w:r>
              <w:rPr>
                <w:rFonts w:ascii="仿宋_GB2312" w:hAnsi="仿宋_GB2312" w:cs="仿宋_GB2312" w:eastAsia="仿宋_GB2312"/>
                <w:sz w:val="24"/>
              </w:rPr>
              <w:t>≥</w:t>
            </w:r>
            <w:r>
              <w:rPr>
                <w:rFonts w:ascii="仿宋_GB2312" w:hAnsi="仿宋_GB2312" w:cs="仿宋_GB2312" w:eastAsia="仿宋_GB2312"/>
                <w:sz w:val="24"/>
              </w:rPr>
              <w:t>90Kg（</w:t>
            </w:r>
            <w:r>
              <w:rPr>
                <w:rFonts w:ascii="仿宋_GB2312" w:hAnsi="仿宋_GB2312" w:cs="仿宋_GB2312" w:eastAsia="仿宋_GB2312"/>
                <w:sz w:val="24"/>
              </w:rPr>
              <w:t>提供相关证明资料</w:t>
            </w:r>
            <w:r>
              <w:rPr>
                <w:rFonts w:ascii="仿宋_GB2312" w:hAnsi="仿宋_GB2312" w:cs="仿宋_GB2312" w:eastAsia="仿宋_GB2312"/>
                <w:sz w:val="24"/>
              </w:rPr>
              <w:t>）</w:t>
            </w:r>
            <w:r>
              <w:rPr>
                <w:rFonts w:ascii="仿宋_GB2312" w:hAnsi="仿宋_GB2312" w:cs="仿宋_GB2312" w:eastAsia="仿宋_GB2312"/>
                <w:sz w:val="24"/>
              </w:rPr>
              <w:t>平台边缘采用</w:t>
            </w:r>
            <w:r>
              <w:rPr>
                <w:rFonts w:ascii="仿宋_GB2312" w:hAnsi="仿宋_GB2312" w:cs="仿宋_GB2312" w:eastAsia="仿宋_GB2312"/>
                <w:sz w:val="24"/>
              </w:rPr>
              <w:t>凸起</w:t>
            </w:r>
            <w:r>
              <w:rPr>
                <w:rFonts w:ascii="仿宋_GB2312" w:hAnsi="仿宋_GB2312" w:cs="仿宋_GB2312" w:eastAsia="仿宋_GB2312"/>
                <w:sz w:val="24"/>
              </w:rPr>
              <w:t>设计</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吸合</w:t>
            </w:r>
            <w:r>
              <w:rPr>
                <w:rFonts w:ascii="仿宋_GB2312" w:hAnsi="仿宋_GB2312" w:cs="仿宋_GB2312" w:eastAsia="仿宋_GB2312"/>
                <w:sz w:val="24"/>
              </w:rPr>
              <w:t>ABS一体成型抽屉*2个</w:t>
            </w:r>
            <w:r>
              <w:rPr>
                <w:rFonts w:ascii="仿宋_GB2312" w:hAnsi="仿宋_GB2312" w:cs="仿宋_GB2312" w:eastAsia="仿宋_GB2312"/>
                <w:sz w:val="24"/>
              </w:rPr>
              <w:t>:两层 ABS 一体成型抽屉，隐藏式自吸轨道，带可一键式可拆卸装置，承重≥</w:t>
            </w:r>
            <w:r>
              <w:rPr>
                <w:rFonts w:ascii="仿宋_GB2312" w:hAnsi="仿宋_GB2312" w:cs="仿宋_GB2312" w:eastAsia="仿宋_GB2312"/>
                <w:sz w:val="24"/>
              </w:rPr>
              <w:t>3</w:t>
            </w:r>
            <w:r>
              <w:rPr>
                <w:rFonts w:ascii="仿宋_GB2312" w:hAnsi="仿宋_GB2312" w:cs="仿宋_GB2312" w:eastAsia="仿宋_GB2312"/>
                <w:sz w:val="24"/>
              </w:rPr>
              <w:t>5</w:t>
            </w:r>
            <w:r>
              <w:rPr>
                <w:rFonts w:ascii="仿宋_GB2312" w:hAnsi="仿宋_GB2312" w:cs="仿宋_GB2312" w:eastAsia="仿宋_GB2312"/>
                <w:sz w:val="24"/>
              </w:rPr>
              <w:t>Kg</w:t>
            </w:r>
            <w:r>
              <w:rPr>
                <w:rFonts w:ascii="仿宋_GB2312" w:hAnsi="仿宋_GB2312" w:cs="仿宋_GB2312" w:eastAsia="仿宋_GB2312"/>
                <w:sz w:val="24"/>
              </w:rPr>
              <w:t>公斤。（</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气体管路为：医用气体管路应符合欧盟</w:t>
            </w:r>
            <w:r>
              <w:rPr>
                <w:rFonts w:ascii="仿宋_GB2312" w:hAnsi="仿宋_GB2312" w:cs="仿宋_GB2312" w:eastAsia="仿宋_GB2312"/>
                <w:sz w:val="24"/>
              </w:rPr>
              <w:t>EN ISO 7396-1 和 EN ISO7396-2 标准；气体终端应符合 ISO 9170-1 及 ISO 9170-2标准；（</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管路规格：压缩医用气体软管内径</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mm，真空软管≥</w:t>
            </w:r>
            <w:r>
              <w:rPr>
                <w:rFonts w:ascii="仿宋_GB2312" w:hAnsi="仿宋_GB2312" w:cs="仿宋_GB2312" w:eastAsia="仿宋_GB2312"/>
                <w:sz w:val="24"/>
              </w:rPr>
              <w:t>6</w:t>
            </w:r>
            <w:r>
              <w:rPr>
                <w:rFonts w:ascii="仿宋_GB2312" w:hAnsi="仿宋_GB2312" w:cs="仿宋_GB2312" w:eastAsia="仿宋_GB2312"/>
                <w:sz w:val="24"/>
              </w:rPr>
              <w:t>mm，气管层间粘合强度≥2.</w:t>
            </w:r>
            <w:r>
              <w:rPr>
                <w:rFonts w:ascii="仿宋_GB2312" w:hAnsi="仿宋_GB2312" w:cs="仿宋_GB2312" w:eastAsia="仿宋_GB2312"/>
                <w:sz w:val="24"/>
              </w:rPr>
              <w:t>0</w:t>
            </w:r>
            <w:r>
              <w:rPr>
                <w:rFonts w:ascii="仿宋_GB2312" w:hAnsi="仿宋_GB2312" w:cs="仿宋_GB2312" w:eastAsia="仿宋_GB2312"/>
                <w:sz w:val="24"/>
              </w:rPr>
              <w:t>KN/M</w:t>
            </w:r>
            <w:r>
              <w:rPr>
                <w:rFonts w:ascii="仿宋_GB2312" w:hAnsi="仿宋_GB2312" w:cs="仿宋_GB2312" w:eastAsia="仿宋_GB2312"/>
                <w:sz w:val="24"/>
              </w:rPr>
              <w:t>（</w:t>
            </w:r>
            <w:r>
              <w:rPr>
                <w:rFonts w:ascii="仿宋_GB2312" w:hAnsi="仿宋_GB2312" w:cs="仿宋_GB2312" w:eastAsia="仿宋_GB2312"/>
                <w:sz w:val="24"/>
              </w:rPr>
              <w:t>提供相关证明资料）</w:t>
            </w:r>
          </w:p>
          <w:p>
            <w:pPr>
              <w:pStyle w:val="null3"/>
              <w:numPr>
                <w:ilvl w:val="0"/>
                <w:numId w:val="2"/>
              </w:numPr>
              <w:spacing w:after="150"/>
              <w:jc w:val="both"/>
            </w:pPr>
            <w:r>
              <w:rPr>
                <w:rFonts w:ascii="仿宋_GB2312" w:hAnsi="仿宋_GB2312" w:cs="仿宋_GB2312" w:eastAsia="仿宋_GB2312"/>
                <w:sz w:val="24"/>
              </w:rPr>
              <w:t>输液架</w:t>
            </w:r>
            <w:r>
              <w:rPr>
                <w:rFonts w:ascii="仿宋_GB2312" w:hAnsi="仿宋_GB2312" w:cs="仿宋_GB2312" w:eastAsia="仿宋_GB2312"/>
                <w:sz w:val="24"/>
              </w:rPr>
              <w:t>*1个：（可调高度，延展臂式）*1 套，输液架净载重量≥30Kg(提供检测报告)</w:t>
            </w:r>
          </w:p>
          <w:p>
            <w:pPr>
              <w:pStyle w:val="null3"/>
              <w:numPr>
                <w:ilvl w:val="0"/>
                <w:numId w:val="2"/>
              </w:numPr>
              <w:spacing w:after="150"/>
              <w:jc w:val="both"/>
            </w:pPr>
            <w:r>
              <w:rPr>
                <w:rFonts w:ascii="仿宋_GB2312" w:hAnsi="仿宋_GB2312" w:cs="仿宋_GB2312" w:eastAsia="仿宋_GB2312"/>
                <w:sz w:val="24"/>
              </w:rPr>
              <w:t>食用级不锈钢材质医用网篮</w:t>
            </w:r>
            <w:r>
              <w:rPr>
                <w:rFonts w:ascii="仿宋_GB2312" w:hAnsi="仿宋_GB2312" w:cs="仿宋_GB2312" w:eastAsia="仿宋_GB2312"/>
                <w:sz w:val="24"/>
              </w:rPr>
              <w:t>1个</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所有气电端口必须安装于气电箱上。</w:t>
            </w:r>
          </w:p>
          <w:p>
            <w:pPr>
              <w:pStyle w:val="null3"/>
              <w:numPr>
                <w:ilvl w:val="0"/>
                <w:numId w:val="2"/>
              </w:numPr>
              <w:spacing w:after="150"/>
              <w:jc w:val="both"/>
            </w:pPr>
            <w:r>
              <w:rPr>
                <w:rFonts w:ascii="仿宋_GB2312" w:hAnsi="仿宋_GB2312" w:cs="仿宋_GB2312" w:eastAsia="仿宋_GB2312"/>
                <w:sz w:val="24"/>
              </w:rPr>
              <w:t>桥梁底部为整体式包裹型材。</w:t>
            </w:r>
          </w:p>
          <w:p>
            <w:pPr>
              <w:pStyle w:val="null3"/>
              <w:numPr>
                <w:ilvl w:val="0"/>
                <w:numId w:val="2"/>
              </w:numPr>
              <w:spacing w:after="150"/>
              <w:jc w:val="both"/>
            </w:pPr>
            <w:r>
              <w:rPr>
                <w:rFonts w:ascii="仿宋_GB2312" w:hAnsi="仿宋_GB2312" w:cs="仿宋_GB2312" w:eastAsia="仿宋_GB2312"/>
                <w:sz w:val="24"/>
              </w:rPr>
              <w:t>每组吊桥设置氧气、空气总阀门，不打开任何部件情况下可随时关断气体。</w:t>
            </w:r>
          </w:p>
          <w:p>
            <w:pPr>
              <w:pStyle w:val="null3"/>
              <w:numPr>
                <w:ilvl w:val="0"/>
                <w:numId w:val="2"/>
              </w:numPr>
              <w:spacing w:after="150"/>
              <w:jc w:val="both"/>
            </w:pPr>
            <w:r>
              <w:rPr>
                <w:rFonts w:ascii="仿宋_GB2312" w:hAnsi="仿宋_GB2312" w:cs="仿宋_GB2312" w:eastAsia="仿宋_GB2312"/>
                <w:sz w:val="24"/>
              </w:rPr>
              <w:t>每组吊桥电源设置独立带漏电功能断路器。</w:t>
            </w:r>
          </w:p>
          <w:p>
            <w:pPr>
              <w:pStyle w:val="null3"/>
              <w:numPr>
                <w:ilvl w:val="0"/>
                <w:numId w:val="2"/>
              </w:numPr>
              <w:spacing w:after="150"/>
              <w:jc w:val="both"/>
            </w:pPr>
            <w:r>
              <w:rPr>
                <w:rFonts w:ascii="仿宋_GB2312" w:hAnsi="仿宋_GB2312" w:cs="仿宋_GB2312" w:eastAsia="仿宋_GB2312"/>
                <w:sz w:val="24"/>
              </w:rPr>
              <w:t>移动静音线性轨道，噪音</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分贝</w:t>
            </w:r>
            <w:r>
              <w:rPr>
                <w:rFonts w:ascii="仿宋_GB2312" w:hAnsi="仿宋_GB2312" w:cs="仿宋_GB2312" w:eastAsia="仿宋_GB2312"/>
                <w:sz w:val="24"/>
              </w:rPr>
              <w:t>;(</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numPr>
                <w:ilvl w:val="0"/>
                <w:numId w:val="2"/>
              </w:numPr>
              <w:spacing w:after="150"/>
              <w:jc w:val="both"/>
            </w:pPr>
            <w:r>
              <w:rPr>
                <w:rFonts w:ascii="仿宋_GB2312" w:hAnsi="仿宋_GB2312" w:cs="仿宋_GB2312" w:eastAsia="仿宋_GB2312"/>
                <w:sz w:val="24"/>
              </w:rPr>
              <w:t>吊塔数量：20组。</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自合同签订之日起15个日历日内完成交货、安装、调试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自合同签订之日起30个日历日内完成交货、安装、调试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汉中市中心医院指定地点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验收满一年后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验收满一年后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质保期为终验合格后不少于3年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质保期为终验合格后不少于5年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投标函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投标函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投标函 一般资格要求.docx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投标函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投标函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投标函 一般资格要求.docx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特殊资质</w:t>
            </w:r>
          </w:p>
        </w:tc>
        <w:tc>
          <w:tcPr>
            <w:tcW w:type="dxa" w:w="3322"/>
          </w:tcPr>
          <w:p>
            <w:pPr>
              <w:pStyle w:val="null3"/>
            </w:pPr>
            <w:r>
              <w:rPr>
                <w:rFonts w:ascii="仿宋_GB2312" w:hAnsi="仿宋_GB2312" w:cs="仿宋_GB2312" w:eastAsia="仿宋_GB2312"/>
              </w:rPr>
              <w:t>投标产品属于医疗器械管理的须提供所投产品的《医疗器械产品注册证》；且授权范围需包含本次采购项目内容。 ②投标人为生产厂家的须提供《医疗器械生产许可证》，投标人为代理商的须提供《医疗器械经营许可证》或《医疗器械经营备案证》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特殊资质</w:t>
            </w:r>
          </w:p>
        </w:tc>
        <w:tc>
          <w:tcPr>
            <w:tcW w:type="dxa" w:w="3322"/>
          </w:tcPr>
          <w:p>
            <w:pPr>
              <w:pStyle w:val="null3"/>
            </w:pPr>
            <w:r>
              <w:rPr>
                <w:rFonts w:ascii="仿宋_GB2312" w:hAnsi="仿宋_GB2312" w:cs="仿宋_GB2312" w:eastAsia="仿宋_GB2312"/>
              </w:rPr>
              <w:t>投标产品属于医疗器械管理的须提供所投产品的《医疗器械产品注册证》；且授权范围需包含本次采购项目内容。 ②投标人为生产厂家的须提供《医疗器械生产许可证》，投标人为代理商的须提供《医疗器械经营许可证》或《医疗器械经营备案证》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只能有一个有效报价，不得提交选择性报价，且报价不超过采购预算金额或最高限价及单价最高限价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产品技术参数表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只能有一个有效报价，不得提交选择性报价，且报价不超过采购预算金额或最高限价及单价最高限价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投标产品功能、技术参数和配置完全满足或优于采购文件要求的得满分30分，其中“▲”标注参数为重要技术参数。 二、评审依据 （带“▲”的技术参数一项负偏离扣3分，其他技术参数一项负偏离扣1分。扣完为止） 注：带“▲”的技术参数须提供佐证材料，并标注其在投标文件中的具体页码。（佐证材料包括但不限于：检测报告、功能说明书、功能截图、实物照片等内容《以上内容加盖制造厂商公章》，未按要求提供相关佐证材料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设备供应方案</w:t>
            </w:r>
          </w:p>
        </w:tc>
        <w:tc>
          <w:tcPr>
            <w:tcW w:type="dxa" w:w="2492"/>
          </w:tcPr>
          <w:p>
            <w:pPr>
              <w:pStyle w:val="null3"/>
            </w:pPr>
            <w:r>
              <w:rPr>
                <w:rFonts w:ascii="仿宋_GB2312" w:hAnsi="仿宋_GB2312" w:cs="仿宋_GB2312" w:eastAsia="仿宋_GB2312"/>
              </w:rPr>
              <w:t>一、评审内容 供应商提供针对本项目的供应方案。包括但不限于 ①所投产品型号、功能、技术规格等详细信息描述； ②根据所投产品品牌与配置清单，设备配置先进、选型科学合理，从配置完整性、性能稳定性、兼容性、行业使用广泛性等方面描述（供应商提供证明材料，不限于所投设备产品临床使用优势、市场销售情况等）； ③确保设备供应渠道正常、检验手续合法有效、无产权纠纷（供应商提供证明材料，不限于授权函、销售协议、代理协议等）。 二、评审依据 各项内容全面详细、阐述条理清晰、技术先进、功能配置合理，能有效保障本项目实施的得9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设备供应方案..docx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投标人需针对本项目提供完整的项目实施方案。包括但不限于：①详细的实施计划及进度安排； ②具有完善供货组织安排、详细的人员、财力调配、运输、配送措施； ③具有健全产品安装、检测、调试、试运行及验收方案. 二、评审依据 各项内容全面详细、阐述条理清晰，能有效保障本项目实施的得9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针对本项目提供详细的质量保障措施。包括但不限于： ① 质量保障承诺及措施； ② 配套专用耗材价格承诺。 二、评审依据 各项内容全面详细、阐述条理清晰，能有效保障本项目实施的得4分，每有一项内容存在缺陷，扣1-2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针对本项目提供详细的应急保障方案，包括但不限于： ①设备故障响应时限、维修服务到场响应时限； ②备品备件不足的紧急措施； ③应急突发状况处置措施。 二、评审依据 各项内容全面详细、阐述条理清晰，能有效保障本项目实施的得6分，每有一项内容存在缺陷，扣1-2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应急保障方案..docx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针对本项目提供详细的售后服务方案，包括但不限于： ①针对本项目的售后服务方案及承诺； ②具有健全的售后服务机构、售后服务人员及应急处理人员； ③提供具体的培训方案、培训内容、培训方式等。 二、评审依据 各项内容全面详细、阐述条理清晰、能有效保障本项目实施的得9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供应商提供2023年1月1日至今所完成的类似项目业绩的，每提供一项得1分，最高得3分。 注： ①日期以合同签订之日为准； ②证明材料须提供项目完整合同复印件并加盖公章。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投标产品功能、技术参数和配置完全满足或优于采购文件要求的得满分30分，其中“▲”标注参数为重要技术参数。 二、评审依据 （带“▲”的技术参数一项负偏离扣3分，其他技术参数一项负偏离扣1分。扣完为止） 注：带“▲”的技术参数须提供佐证材料，并标注其在投标文件中的具体页码。（佐证材料包括但不限于：检测报告、功能说明书、功能截图、实物照片等内容，未按要求提供相关佐证材料按负偏离处理。）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设备供应方案</w:t>
            </w:r>
          </w:p>
        </w:tc>
        <w:tc>
          <w:tcPr>
            <w:tcW w:type="dxa" w:w="2492"/>
          </w:tcPr>
          <w:p>
            <w:pPr>
              <w:pStyle w:val="null3"/>
            </w:pPr>
            <w:r>
              <w:rPr>
                <w:rFonts w:ascii="仿宋_GB2312" w:hAnsi="仿宋_GB2312" w:cs="仿宋_GB2312" w:eastAsia="仿宋_GB2312"/>
              </w:rPr>
              <w:t>一、评审内容 供应商提供针对本项目的供应方案。包括但不限于 ①所投产品型号、功能、技术规格等详细信息描述； ②根据所投产品品牌与配置清单，设备配置先进、选型科学合理，从配置完整性、性能稳定性、兼容性、行业使用广泛性等方面描述（供应商提供证明材料，不限于所投设备产品临床使用优势、市场销售情况等）； ③确保设备供应渠道正常、检验手续合法有效、无产权纠纷（供应商提供证明材料，不限于授权函、销售协议、代理协议等）。 二、评审依据 各项内容全面详细、阐述条理清晰、技术先进、功能配置合理，能有效保障本项目实施的得9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设备供应方案..docx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投标人需针对本项目提供完整的项目实施方案。包括但不限于：①详细的实施计划及进度安排； ②具有完善供货组织安排、详细的人员、财力调配、运输、配送措施； ③具有健全产品安装、检测、调试、试运行及验收方案. 二、评审依据 各项内容全面详细、阐述条理清晰，能有效保障本项目实施的得9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针对本项目提供详细的质量保障措施。包括但不限于： ① 质量保障承诺及措施； ② 配套专用耗材价格承诺。 二、评审依据 各项内容全面详细、阐述条理清晰，能有效保障本项目实施的得4分，每有一项内容存在缺陷，扣1-2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针对本项目提供详细的应急保障方案，包括但不限于： ①设备故障响应时限、维修服务到场响应时限； ②备品备件不足的紧急措施； ③应急突发状况处置措施。 二、评审依据 各项内容全面详细、阐述条理清晰，能有效保障本项目实施的得6分，每有一项内容存在缺陷，扣1-2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应急保障方案..docx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针对本项目提供详细的售后服务方案，包括但不限于： ①针对本项目的售后服务方案及承诺； ②具有健全的售后服务机构、售后服务人员及应急处理人员； ③提供具体的培训方案、培训内容、培训方式等。 二、评审依据 各项内容全面详细、阐述条理清晰、能有效保障本项目实施的得9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供应商提供2023年1月1日至今所完成的类似项目业绩的，每提供一项得1分，最高得3分。 注： ①日期以合同签订之日为准； ②证明材料须提供项目完整合同复印件并加盖公章。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详见附件：设备供应方案..docx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详见附件：应急保障方案..docx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详见附件：设备供应方案..docx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详见附件：应急保障方案..docx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